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A3B" w:rsidRDefault="00ED41AB" w:rsidP="00ED41A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ED41AB">
        <w:rPr>
          <w:rFonts w:ascii="Times New Roman" w:hAnsi="Times New Roman" w:cs="Times New Roman"/>
          <w:b/>
          <w:bCs/>
        </w:rPr>
        <w:t>TECHNICKÁ SPECIFIKACE PŘEDMĚTU VEŘEJNÉ ZAKÁZKY</w:t>
      </w:r>
    </w:p>
    <w:p w:rsidR="00ED41AB" w:rsidRPr="00ED41AB" w:rsidRDefault="00ED41AB" w:rsidP="00ED41AB">
      <w:pPr>
        <w:pStyle w:val="Default"/>
        <w:jc w:val="center"/>
        <w:rPr>
          <w:rFonts w:ascii="Times New Roman" w:hAnsi="Times New Roman" w:cs="Times New Roman"/>
        </w:rPr>
      </w:pPr>
    </w:p>
    <w:p w:rsidR="00AD7A3B" w:rsidRPr="00ED41AB" w:rsidRDefault="00AD7A3B" w:rsidP="00AD7A3B">
      <w:pPr>
        <w:pStyle w:val="Default"/>
        <w:rPr>
          <w:rFonts w:ascii="Times New Roman" w:hAnsi="Times New Roman" w:cs="Times New Roman"/>
        </w:rPr>
      </w:pPr>
      <w:r w:rsidRPr="00ED41AB">
        <w:rPr>
          <w:rFonts w:ascii="Times New Roman" w:hAnsi="Times New Roman" w:cs="Times New Roman"/>
          <w:b/>
          <w:bCs/>
        </w:rPr>
        <w:t xml:space="preserve">1. Předmět prací </w:t>
      </w:r>
    </w:p>
    <w:p w:rsidR="00AD7A3B" w:rsidRPr="00ED41AB" w:rsidRDefault="00AD7A3B" w:rsidP="00AD7A3B">
      <w:pPr>
        <w:pStyle w:val="Default"/>
        <w:rPr>
          <w:rFonts w:ascii="Times New Roman" w:hAnsi="Times New Roman" w:cs="Times New Roman"/>
        </w:rPr>
      </w:pPr>
    </w:p>
    <w:p w:rsidR="00ED41AB" w:rsidRPr="00ED41AB" w:rsidRDefault="00ED41AB" w:rsidP="00ED41AB">
      <w:pPr>
        <w:pStyle w:val="Default"/>
        <w:spacing w:after="261"/>
        <w:jc w:val="both"/>
        <w:rPr>
          <w:rFonts w:ascii="Times New Roman" w:hAnsi="Times New Roman" w:cs="Times New Roman"/>
        </w:rPr>
      </w:pPr>
      <w:r w:rsidRPr="00ED41AB">
        <w:rPr>
          <w:rFonts w:ascii="Times New Roman" w:hAnsi="Times New Roman" w:cs="Times New Roman"/>
        </w:rPr>
        <w:t xml:space="preserve">Předmětem veřejné zakázky jsou dodávky a služby zahrnující na dvou hlavních větvích osvětlujících hlavní komunikace v obci demontáž 76 ks stávajících svítidel o příkonu 36 W až 250 W a jejich nahrazení novými, energeticky mnohem úspornějšími LED svítidly, </w:t>
      </w:r>
      <w:r w:rsidR="0074612C">
        <w:rPr>
          <w:rFonts w:ascii="Times New Roman" w:hAnsi="Times New Roman" w:cs="Times New Roman"/>
        </w:rPr>
        <w:t xml:space="preserve">všechna </w:t>
      </w:r>
      <w:r w:rsidRPr="00ED41AB">
        <w:rPr>
          <w:rFonts w:ascii="Times New Roman" w:hAnsi="Times New Roman" w:cs="Times New Roman"/>
        </w:rPr>
        <w:t xml:space="preserve">o výkonu 57 W. </w:t>
      </w:r>
    </w:p>
    <w:p w:rsidR="00ED41AB" w:rsidRPr="00ED41AB" w:rsidRDefault="00ED41AB" w:rsidP="00ED41AB">
      <w:pPr>
        <w:pStyle w:val="Default"/>
        <w:spacing w:after="261"/>
        <w:jc w:val="both"/>
        <w:rPr>
          <w:rFonts w:ascii="Times New Roman" w:hAnsi="Times New Roman" w:cs="Times New Roman"/>
        </w:rPr>
      </w:pPr>
      <w:r w:rsidRPr="00ED41AB">
        <w:rPr>
          <w:rFonts w:ascii="Times New Roman" w:hAnsi="Times New Roman" w:cs="Times New Roman"/>
        </w:rPr>
        <w:t>Soustava veřejného osvětlení bude doplněn</w:t>
      </w:r>
      <w:r w:rsidR="0074612C">
        <w:rPr>
          <w:rFonts w:ascii="Times New Roman" w:hAnsi="Times New Roman" w:cs="Times New Roman"/>
        </w:rPr>
        <w:t>a</w:t>
      </w:r>
      <w:r w:rsidRPr="00ED41AB">
        <w:rPr>
          <w:rFonts w:ascii="Times New Roman" w:hAnsi="Times New Roman" w:cs="Times New Roman"/>
        </w:rPr>
        <w:t xml:space="preserve"> o dosud chybějící prvky měření a regulace, konkrétně o </w:t>
      </w:r>
      <w:proofErr w:type="spellStart"/>
      <w:r w:rsidRPr="00ED41AB">
        <w:rPr>
          <w:rFonts w:ascii="Times New Roman" w:hAnsi="Times New Roman" w:cs="Times New Roman"/>
        </w:rPr>
        <w:t>stmívací</w:t>
      </w:r>
      <w:proofErr w:type="spellEnd"/>
      <w:r w:rsidRPr="00ED41AB">
        <w:rPr>
          <w:rFonts w:ascii="Times New Roman" w:hAnsi="Times New Roman" w:cs="Times New Roman"/>
        </w:rPr>
        <w:t xml:space="preserve"> modul s regulací výkonu soustavy veřejného osvětlení. </w:t>
      </w:r>
    </w:p>
    <w:p w:rsidR="00AD7A3B" w:rsidRPr="00ED41AB" w:rsidRDefault="00AD7A3B" w:rsidP="00AD7A3B">
      <w:pPr>
        <w:pStyle w:val="Default"/>
        <w:rPr>
          <w:rFonts w:ascii="Times New Roman" w:hAnsi="Times New Roman" w:cs="Times New Roman"/>
        </w:rPr>
      </w:pPr>
      <w:r w:rsidRPr="00ED41AB">
        <w:rPr>
          <w:rFonts w:ascii="Times New Roman" w:hAnsi="Times New Roman" w:cs="Times New Roman"/>
          <w:b/>
          <w:bCs/>
        </w:rPr>
        <w:t xml:space="preserve">2. Stávající stav </w:t>
      </w:r>
    </w:p>
    <w:p w:rsidR="00AD7A3B" w:rsidRPr="00ED41AB" w:rsidRDefault="00AD7A3B" w:rsidP="00AD7A3B">
      <w:pPr>
        <w:pStyle w:val="Default"/>
        <w:rPr>
          <w:rFonts w:ascii="Times New Roman" w:hAnsi="Times New Roman" w:cs="Times New Roman"/>
        </w:rPr>
      </w:pPr>
    </w:p>
    <w:p w:rsidR="0074612C" w:rsidRPr="0074612C" w:rsidRDefault="0074612C" w:rsidP="0074612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Stávající soustava veřejného osvětlení sestává z celkem </w:t>
      </w:r>
      <w:r w:rsidRPr="0074612C">
        <w:rPr>
          <w:rFonts w:ascii="Times New Roman" w:hAnsi="Times New Roman" w:cs="Times New Roman"/>
        </w:rPr>
        <w:t>92 světelných bodů, které jsou různého příkonu v rozpětí od 36 W do 250 W. Stávající soustava veřejného osvětlení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74612C">
        <w:rPr>
          <w:rFonts w:ascii="Times New Roman" w:hAnsi="Times New Roman" w:cs="Times New Roman"/>
        </w:rPr>
        <w:t>je</w:t>
      </w:r>
      <w:proofErr w:type="gramEnd"/>
      <w:r w:rsidRPr="0074612C">
        <w:rPr>
          <w:rFonts w:ascii="Times New Roman" w:hAnsi="Times New Roman" w:cs="Times New Roman"/>
        </w:rPr>
        <w:t xml:space="preserve"> tvořena různými typy svítidel umístěnými na dře</w:t>
      </w:r>
      <w:r>
        <w:rPr>
          <w:rFonts w:ascii="Times New Roman" w:hAnsi="Times New Roman" w:cs="Times New Roman"/>
        </w:rPr>
        <w:t xml:space="preserve">věných nebo ocelových sloupech a </w:t>
      </w:r>
      <w:r w:rsidRPr="0074612C">
        <w:rPr>
          <w:rFonts w:ascii="Times New Roman" w:hAnsi="Times New Roman" w:cs="Times New Roman"/>
        </w:rPr>
        <w:t xml:space="preserve">soustavou rozvaděčů a </w:t>
      </w:r>
      <w:proofErr w:type="spellStart"/>
      <w:r w:rsidRPr="0074612C">
        <w:rPr>
          <w:rFonts w:ascii="Times New Roman" w:hAnsi="Times New Roman" w:cs="Times New Roman"/>
        </w:rPr>
        <w:t>stmívacích</w:t>
      </w:r>
      <w:proofErr w:type="spellEnd"/>
      <w:r w:rsidRPr="0074612C">
        <w:rPr>
          <w:rFonts w:ascii="Times New Roman" w:hAnsi="Times New Roman" w:cs="Times New Roman"/>
        </w:rPr>
        <w:t xml:space="preserve"> čidel (fotonek).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612C" w:rsidRDefault="0074612C" w:rsidP="0074612C">
      <w:pPr>
        <w:pStyle w:val="Default"/>
        <w:rPr>
          <w:rFonts w:ascii="Times New Roman" w:hAnsi="Times New Roman" w:cs="Times New Roman"/>
        </w:rPr>
      </w:pPr>
    </w:p>
    <w:p w:rsidR="0074612C" w:rsidRPr="0074612C" w:rsidRDefault="0074612C" w:rsidP="0074612C">
      <w:pPr>
        <w:pStyle w:val="Default"/>
        <w:jc w:val="both"/>
        <w:rPr>
          <w:rFonts w:ascii="Times New Roman" w:hAnsi="Times New Roman" w:cs="Times New Roman"/>
        </w:rPr>
      </w:pPr>
      <w:r w:rsidRPr="0074612C">
        <w:rPr>
          <w:rFonts w:ascii="Times New Roman" w:hAnsi="Times New Roman" w:cs="Times New Roman"/>
        </w:rPr>
        <w:t xml:space="preserve">V roce 2014 byla realizována výměna 16 ks technicky dožilých světelných bodů za nová LED svítidla s příkonem 57 W, která jsou výrazně energetický úspornější. </w:t>
      </w:r>
    </w:p>
    <w:p w:rsidR="0074612C" w:rsidRPr="0074612C" w:rsidRDefault="0074612C" w:rsidP="0074612C">
      <w:pPr>
        <w:pStyle w:val="Default"/>
        <w:rPr>
          <w:rFonts w:ascii="Times New Roman" w:hAnsi="Times New Roman" w:cs="Times New Roman"/>
        </w:rPr>
      </w:pPr>
    </w:p>
    <w:p w:rsidR="0074612C" w:rsidRPr="0074612C" w:rsidRDefault="0074612C" w:rsidP="0074612C">
      <w:pPr>
        <w:pStyle w:val="Default"/>
        <w:jc w:val="both"/>
        <w:rPr>
          <w:rFonts w:ascii="Times New Roman" w:hAnsi="Times New Roman" w:cs="Times New Roman"/>
        </w:rPr>
      </w:pPr>
      <w:r w:rsidRPr="0074612C">
        <w:rPr>
          <w:rFonts w:ascii="Times New Roman" w:hAnsi="Times New Roman" w:cs="Times New Roman"/>
        </w:rPr>
        <w:t xml:space="preserve">Při stávajícím instalovaném příkonu soustavy veřejného osvětlení, který </w:t>
      </w:r>
      <w:proofErr w:type="gramStart"/>
      <w:r w:rsidRPr="0074612C">
        <w:rPr>
          <w:rFonts w:ascii="Times New Roman" w:hAnsi="Times New Roman" w:cs="Times New Roman"/>
        </w:rPr>
        <w:t>je</w:t>
      </w:r>
      <w:proofErr w:type="gramEnd"/>
      <w:r w:rsidRPr="0074612C">
        <w:rPr>
          <w:rFonts w:ascii="Times New Roman" w:hAnsi="Times New Roman" w:cs="Times New Roman"/>
        </w:rPr>
        <w:t xml:space="preserve"> 12,456 kW je skutečná spotřeba energie 39,304 </w:t>
      </w:r>
      <w:proofErr w:type="spellStart"/>
      <w:r w:rsidRPr="0074612C">
        <w:rPr>
          <w:rFonts w:ascii="Times New Roman" w:hAnsi="Times New Roman" w:cs="Times New Roman"/>
        </w:rPr>
        <w:t>MWh</w:t>
      </w:r>
      <w:proofErr w:type="spellEnd"/>
      <w:r w:rsidRPr="0074612C">
        <w:rPr>
          <w:rFonts w:ascii="Times New Roman" w:hAnsi="Times New Roman" w:cs="Times New Roman"/>
        </w:rPr>
        <w:t xml:space="preserve">.   </w:t>
      </w:r>
    </w:p>
    <w:p w:rsidR="0074612C" w:rsidRPr="0074612C" w:rsidRDefault="0074612C" w:rsidP="0074612C">
      <w:pPr>
        <w:pStyle w:val="Default"/>
        <w:rPr>
          <w:rFonts w:ascii="Times New Roman" w:hAnsi="Times New Roman" w:cs="Times New Roman"/>
        </w:rPr>
      </w:pPr>
    </w:p>
    <w:p w:rsidR="00C35F8B" w:rsidRDefault="00C35F8B" w:rsidP="00C35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F8B">
        <w:rPr>
          <w:rFonts w:ascii="Times New Roman" w:hAnsi="Times New Roman" w:cs="Times New Roman"/>
          <w:sz w:val="24"/>
          <w:szCs w:val="24"/>
        </w:rPr>
        <w:t xml:space="preserve">Stávající sestava světelných bodů se skládá z </w:t>
      </w:r>
      <w:r w:rsidRPr="00C35F8B">
        <w:rPr>
          <w:rFonts w:ascii="Times New Roman" w:hAnsi="Times New Roman" w:cs="Times New Roman"/>
          <w:sz w:val="24"/>
          <w:szCs w:val="24"/>
        </w:rPr>
        <w:t xml:space="preserve">12 ks </w:t>
      </w:r>
      <w:r w:rsidRPr="00C35F8B">
        <w:rPr>
          <w:rFonts w:ascii="Times New Roman" w:hAnsi="Times New Roman" w:cs="Times New Roman"/>
          <w:sz w:val="24"/>
          <w:szCs w:val="24"/>
        </w:rPr>
        <w:t xml:space="preserve">původních osvětlovacích těles </w:t>
      </w:r>
      <w:r w:rsidRPr="00C35F8B">
        <w:rPr>
          <w:rFonts w:ascii="Times New Roman" w:hAnsi="Times New Roman" w:cs="Times New Roman"/>
          <w:sz w:val="24"/>
          <w:szCs w:val="24"/>
        </w:rPr>
        <w:t>ELEKTROSVIT Svatobořice – Nové Zámky</w:t>
      </w:r>
      <w:r w:rsidRPr="00C35F8B">
        <w:rPr>
          <w:rFonts w:ascii="Times New Roman" w:hAnsi="Times New Roman" w:cs="Times New Roman"/>
          <w:sz w:val="24"/>
          <w:szCs w:val="24"/>
        </w:rPr>
        <w:t xml:space="preserve"> (</w:t>
      </w:r>
      <w:r w:rsidRPr="00C35F8B">
        <w:rPr>
          <w:rFonts w:ascii="Times New Roman" w:hAnsi="Times New Roman" w:cs="Times New Roman"/>
          <w:sz w:val="24"/>
          <w:szCs w:val="24"/>
        </w:rPr>
        <w:t>vysokotlaká rtuťová</w:t>
      </w:r>
      <w:r w:rsidRPr="00C35F8B">
        <w:rPr>
          <w:rFonts w:ascii="Times New Roman" w:hAnsi="Times New Roman" w:cs="Times New Roman"/>
          <w:sz w:val="24"/>
          <w:szCs w:val="24"/>
        </w:rPr>
        <w:t xml:space="preserve"> </w:t>
      </w:r>
      <w:r w:rsidRPr="00C35F8B">
        <w:rPr>
          <w:rFonts w:ascii="Times New Roman" w:hAnsi="Times New Roman" w:cs="Times New Roman"/>
          <w:sz w:val="24"/>
          <w:szCs w:val="24"/>
        </w:rPr>
        <w:t>výbojka, 1 x 150 W, životnost 12 000 hodin</w:t>
      </w:r>
      <w:r w:rsidRPr="00C35F8B">
        <w:rPr>
          <w:rFonts w:ascii="Times New Roman" w:hAnsi="Times New Roman" w:cs="Times New Roman"/>
          <w:sz w:val="24"/>
          <w:szCs w:val="24"/>
        </w:rPr>
        <w:t xml:space="preserve">), dále z </w:t>
      </w:r>
      <w:r w:rsidRPr="00C35F8B">
        <w:rPr>
          <w:rFonts w:ascii="Times New Roman" w:hAnsi="Times New Roman" w:cs="Times New Roman"/>
          <w:sz w:val="24"/>
          <w:szCs w:val="24"/>
        </w:rPr>
        <w:t xml:space="preserve">12 ks </w:t>
      </w:r>
      <w:r w:rsidRPr="00C35F8B">
        <w:rPr>
          <w:rFonts w:ascii="Times New Roman" w:hAnsi="Times New Roman" w:cs="Times New Roman"/>
          <w:sz w:val="24"/>
          <w:szCs w:val="24"/>
        </w:rPr>
        <w:t xml:space="preserve">osvětlovacích těles </w:t>
      </w:r>
      <w:r w:rsidRPr="00C35F8B">
        <w:rPr>
          <w:rFonts w:ascii="Times New Roman" w:hAnsi="Times New Roman" w:cs="Times New Roman"/>
          <w:sz w:val="24"/>
          <w:szCs w:val="24"/>
        </w:rPr>
        <w:t>MESKO (vysokotlaká rtuťová výbojka, 2 x 250 W, životnost 12</w:t>
      </w:r>
      <w:r w:rsidRPr="00C35F8B">
        <w:rPr>
          <w:rFonts w:ascii="Times New Roman" w:hAnsi="Times New Roman" w:cs="Times New Roman"/>
          <w:sz w:val="24"/>
          <w:szCs w:val="24"/>
        </w:rPr>
        <w:t> </w:t>
      </w:r>
      <w:r w:rsidRPr="00C35F8B">
        <w:rPr>
          <w:rFonts w:ascii="Times New Roman" w:hAnsi="Times New Roman" w:cs="Times New Roman"/>
          <w:sz w:val="24"/>
          <w:szCs w:val="24"/>
        </w:rPr>
        <w:t>000</w:t>
      </w:r>
      <w:r w:rsidRPr="00C35F8B">
        <w:rPr>
          <w:rFonts w:ascii="Times New Roman" w:hAnsi="Times New Roman" w:cs="Times New Roman"/>
          <w:sz w:val="24"/>
          <w:szCs w:val="24"/>
        </w:rPr>
        <w:t xml:space="preserve"> </w:t>
      </w:r>
      <w:r w:rsidRPr="00C35F8B">
        <w:rPr>
          <w:rFonts w:ascii="Times New Roman" w:hAnsi="Times New Roman" w:cs="Times New Roman"/>
          <w:sz w:val="24"/>
          <w:szCs w:val="24"/>
        </w:rPr>
        <w:t>hodin</w:t>
      </w:r>
      <w:r w:rsidRPr="00C35F8B">
        <w:rPr>
          <w:rFonts w:ascii="Times New Roman" w:hAnsi="Times New Roman" w:cs="Times New Roman"/>
          <w:sz w:val="24"/>
          <w:szCs w:val="24"/>
        </w:rPr>
        <w:t xml:space="preserve">) a také z </w:t>
      </w:r>
      <w:r w:rsidRPr="00C35F8B">
        <w:rPr>
          <w:rFonts w:ascii="Times New Roman" w:hAnsi="Times New Roman" w:cs="Times New Roman"/>
          <w:sz w:val="24"/>
          <w:szCs w:val="24"/>
        </w:rPr>
        <w:t xml:space="preserve">52 ks </w:t>
      </w:r>
      <w:r w:rsidRPr="00C35F8B">
        <w:rPr>
          <w:rFonts w:ascii="Times New Roman" w:hAnsi="Times New Roman" w:cs="Times New Roman"/>
          <w:sz w:val="24"/>
          <w:szCs w:val="24"/>
        </w:rPr>
        <w:t xml:space="preserve">osvětlovacích těles </w:t>
      </w:r>
      <w:r w:rsidRPr="00C35F8B">
        <w:rPr>
          <w:rFonts w:ascii="Times New Roman" w:hAnsi="Times New Roman" w:cs="Times New Roman"/>
          <w:sz w:val="24"/>
          <w:szCs w:val="24"/>
        </w:rPr>
        <w:t>MODUS</w:t>
      </w:r>
      <w:r w:rsidRPr="00C35F8B">
        <w:rPr>
          <w:rFonts w:ascii="Times New Roman" w:hAnsi="Times New Roman" w:cs="Times New Roman"/>
          <w:sz w:val="24"/>
          <w:szCs w:val="24"/>
        </w:rPr>
        <w:t xml:space="preserve"> </w:t>
      </w:r>
      <w:r w:rsidRPr="00C35F8B">
        <w:rPr>
          <w:rFonts w:ascii="Times New Roman" w:hAnsi="Times New Roman" w:cs="Times New Roman"/>
          <w:sz w:val="24"/>
          <w:szCs w:val="24"/>
        </w:rPr>
        <w:t>– LV</w:t>
      </w:r>
      <w:r w:rsidRPr="00C35F8B">
        <w:rPr>
          <w:rFonts w:ascii="Times New Roman" w:hAnsi="Times New Roman" w:cs="Times New Roman"/>
          <w:sz w:val="24"/>
          <w:szCs w:val="24"/>
        </w:rPr>
        <w:t xml:space="preserve"> (</w:t>
      </w:r>
      <w:r w:rsidRPr="00C35F8B">
        <w:rPr>
          <w:rFonts w:ascii="Times New Roman" w:hAnsi="Times New Roman" w:cs="Times New Roman"/>
          <w:sz w:val="24"/>
          <w:szCs w:val="24"/>
        </w:rPr>
        <w:t>kompaktní zářivka DULUX, 2 x 36 W, životnost od 10 000 do 20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35F8B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5F8B">
        <w:rPr>
          <w:rFonts w:ascii="Times New Roman" w:hAnsi="Times New Roman" w:cs="Times New Roman"/>
          <w:sz w:val="24"/>
          <w:szCs w:val="24"/>
        </w:rPr>
        <w:t>h</w:t>
      </w:r>
      <w:r w:rsidRPr="00C35F8B">
        <w:rPr>
          <w:rFonts w:ascii="Times New Roman" w:hAnsi="Times New Roman" w:cs="Times New Roman"/>
          <w:sz w:val="24"/>
          <w:szCs w:val="24"/>
        </w:rPr>
        <w:t>odin</w:t>
      </w:r>
      <w:r w:rsidRPr="00C35F8B">
        <w:rPr>
          <w:rFonts w:ascii="Times New Roman" w:hAnsi="Times New Roman" w:cs="Times New Roman"/>
          <w:sz w:val="24"/>
          <w:szCs w:val="24"/>
        </w:rPr>
        <w:t xml:space="preserve">). Součástí stávající soustavy veřejné osvětlení je v roce 2014 instalovaných </w:t>
      </w:r>
      <w:r w:rsidRPr="00C35F8B">
        <w:rPr>
          <w:rFonts w:ascii="Times New Roman" w:hAnsi="Times New Roman" w:cs="Times New Roman"/>
          <w:sz w:val="24"/>
          <w:szCs w:val="24"/>
        </w:rPr>
        <w:t xml:space="preserve">16 ks </w:t>
      </w:r>
      <w:r w:rsidRPr="00C35F8B">
        <w:rPr>
          <w:rFonts w:ascii="Times New Roman" w:hAnsi="Times New Roman" w:cs="Times New Roman"/>
          <w:sz w:val="24"/>
          <w:szCs w:val="24"/>
        </w:rPr>
        <w:t xml:space="preserve">osvětlovacích těles </w:t>
      </w:r>
      <w:r w:rsidRPr="00C35F8B">
        <w:rPr>
          <w:rFonts w:ascii="Times New Roman" w:hAnsi="Times New Roman" w:cs="Times New Roman"/>
          <w:sz w:val="24"/>
          <w:szCs w:val="24"/>
        </w:rPr>
        <w:t>PHILIPS CLEARWAY</w:t>
      </w:r>
      <w:r w:rsidRPr="00C35F8B">
        <w:rPr>
          <w:rFonts w:ascii="Times New Roman" w:hAnsi="Times New Roman" w:cs="Times New Roman"/>
          <w:sz w:val="24"/>
          <w:szCs w:val="24"/>
        </w:rPr>
        <w:t xml:space="preserve"> (LED 49/740, 57 W, </w:t>
      </w:r>
      <w:r w:rsidRPr="00C35F8B">
        <w:rPr>
          <w:rFonts w:ascii="Times New Roman" w:hAnsi="Times New Roman" w:cs="Times New Roman"/>
          <w:sz w:val="24"/>
          <w:szCs w:val="24"/>
        </w:rPr>
        <w:t>životnost 50 000 hodin</w:t>
      </w:r>
      <w:r w:rsidRPr="00C35F8B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35F8B" w:rsidRDefault="00C35F8B" w:rsidP="00C35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5F8B" w:rsidRPr="00C35F8B" w:rsidRDefault="00C35F8B" w:rsidP="00C35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F8B">
        <w:rPr>
          <w:rFonts w:ascii="Times New Roman" w:hAnsi="Times New Roman" w:cs="Times New Roman"/>
          <w:sz w:val="24"/>
          <w:szCs w:val="24"/>
        </w:rPr>
        <w:t>Celkem je ve stávající soustavě začleněno 9</w:t>
      </w:r>
      <w:r w:rsidRPr="00C35F8B">
        <w:rPr>
          <w:rFonts w:ascii="Times New Roman" w:hAnsi="Times New Roman" w:cs="Times New Roman"/>
          <w:sz w:val="24"/>
          <w:szCs w:val="24"/>
        </w:rPr>
        <w:t>2 kusů</w:t>
      </w:r>
      <w:r w:rsidRPr="00C35F8B">
        <w:rPr>
          <w:rFonts w:ascii="Times New Roman" w:hAnsi="Times New Roman" w:cs="Times New Roman"/>
          <w:sz w:val="24"/>
          <w:szCs w:val="24"/>
        </w:rPr>
        <w:t xml:space="preserve"> osvětlovacích těles s celkovým </w:t>
      </w:r>
      <w:r w:rsidRPr="00C35F8B">
        <w:rPr>
          <w:rFonts w:ascii="Times New Roman" w:hAnsi="Times New Roman" w:cs="Times New Roman"/>
          <w:sz w:val="24"/>
          <w:szCs w:val="24"/>
        </w:rPr>
        <w:t>příkon</w:t>
      </w:r>
      <w:r w:rsidRPr="00C35F8B">
        <w:rPr>
          <w:rFonts w:ascii="Times New Roman" w:hAnsi="Times New Roman" w:cs="Times New Roman"/>
          <w:sz w:val="24"/>
          <w:szCs w:val="24"/>
        </w:rPr>
        <w:t xml:space="preserve">em </w:t>
      </w:r>
      <w:r w:rsidRPr="00C35F8B">
        <w:rPr>
          <w:rFonts w:ascii="Times New Roman" w:hAnsi="Times New Roman" w:cs="Times New Roman"/>
          <w:sz w:val="24"/>
          <w:szCs w:val="24"/>
        </w:rPr>
        <w:t>12 456 W</w:t>
      </w:r>
      <w:r w:rsidRPr="00C35F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35F8B" w:rsidRDefault="00C35F8B" w:rsidP="00C35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5F8B" w:rsidRDefault="00C35F8B" w:rsidP="00C35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kompletní rekonstrukci je očekáváno 92 ks osvětlovacích těles LED 49/750 s příkonem 57 W. </w:t>
      </w:r>
    </w:p>
    <w:p w:rsidR="00C35F8B" w:rsidRDefault="00C35F8B" w:rsidP="00C35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612C" w:rsidRDefault="0074612C" w:rsidP="0074612C">
      <w:pPr>
        <w:pStyle w:val="Default"/>
        <w:rPr>
          <w:rFonts w:ascii="Times New Roman" w:hAnsi="Times New Roman" w:cs="Times New Roman"/>
        </w:rPr>
      </w:pPr>
      <w:r w:rsidRPr="0074612C">
        <w:rPr>
          <w:rFonts w:ascii="Times New Roman" w:hAnsi="Times New Roman" w:cs="Times New Roman"/>
        </w:rPr>
        <w:t>Energetickým auditorem bylo doporučeno realizovat rekonstrukci zastaralé soustavy veřejného osvětlení a tím docílit snížení stávající vysoké energetické náročnosti veřejného osvětlení.</w:t>
      </w:r>
    </w:p>
    <w:p w:rsidR="0074612C" w:rsidRDefault="0074612C" w:rsidP="00AD7A3B">
      <w:pPr>
        <w:pStyle w:val="Default"/>
        <w:rPr>
          <w:rFonts w:ascii="Times New Roman" w:hAnsi="Times New Roman" w:cs="Times New Roman"/>
        </w:rPr>
      </w:pPr>
    </w:p>
    <w:p w:rsidR="00AD7A3B" w:rsidRPr="00ED41AB" w:rsidRDefault="00AD7A3B" w:rsidP="00AD7A3B">
      <w:pPr>
        <w:pStyle w:val="Default"/>
        <w:rPr>
          <w:rFonts w:ascii="Times New Roman" w:hAnsi="Times New Roman" w:cs="Times New Roman"/>
        </w:rPr>
      </w:pPr>
      <w:r w:rsidRPr="00ED41AB">
        <w:rPr>
          <w:rFonts w:ascii="Times New Roman" w:hAnsi="Times New Roman" w:cs="Times New Roman"/>
          <w:b/>
          <w:bCs/>
        </w:rPr>
        <w:t xml:space="preserve">3. Požadavky na nová svítidla a montážní práce </w:t>
      </w:r>
    </w:p>
    <w:p w:rsidR="00AD7A3B" w:rsidRPr="00ED41AB" w:rsidRDefault="00AD7A3B" w:rsidP="00AD7A3B">
      <w:pPr>
        <w:pStyle w:val="Default"/>
        <w:rPr>
          <w:rFonts w:ascii="Times New Roman" w:hAnsi="Times New Roman" w:cs="Times New Roman"/>
        </w:rPr>
      </w:pPr>
    </w:p>
    <w:p w:rsidR="0074612C" w:rsidRDefault="00C35F8B" w:rsidP="00B234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F8B">
        <w:rPr>
          <w:rFonts w:ascii="Times New Roman" w:hAnsi="Times New Roman" w:cs="Times New Roman"/>
          <w:sz w:val="24"/>
          <w:szCs w:val="24"/>
        </w:rPr>
        <w:t xml:space="preserve">V rámci realizace akce bude realizována výměna 76 ks zastaralých osvětlovacích těles </w:t>
      </w:r>
      <w:r w:rsidRPr="00B23485">
        <w:rPr>
          <w:rFonts w:ascii="Times New Roman" w:hAnsi="Times New Roman" w:cs="Times New Roman"/>
          <w:sz w:val="24"/>
          <w:szCs w:val="24"/>
          <w:u w:val="single"/>
        </w:rPr>
        <w:t>s vložením modulu pro postupné stmívání LED osvětlení</w:t>
      </w:r>
      <w:r w:rsidRPr="00C35F8B">
        <w:rPr>
          <w:rFonts w:ascii="Times New Roman" w:hAnsi="Times New Roman" w:cs="Times New Roman"/>
          <w:sz w:val="24"/>
          <w:szCs w:val="24"/>
        </w:rPr>
        <w:t xml:space="preserve"> a optimalizace </w:t>
      </w:r>
      <w:proofErr w:type="gramStart"/>
      <w:r w:rsidR="0074612C" w:rsidRPr="00C35F8B">
        <w:rPr>
          <w:rFonts w:ascii="Times New Roman" w:hAnsi="Times New Roman" w:cs="Times New Roman"/>
          <w:bCs/>
          <w:sz w:val="24"/>
          <w:szCs w:val="24"/>
        </w:rPr>
        <w:t>řídícího</w:t>
      </w:r>
      <w:proofErr w:type="gramEnd"/>
      <w:r w:rsidRPr="00C35F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612C" w:rsidRPr="00C35F8B">
        <w:rPr>
          <w:rFonts w:ascii="Times New Roman" w:hAnsi="Times New Roman" w:cs="Times New Roman"/>
          <w:bCs/>
          <w:sz w:val="24"/>
          <w:szCs w:val="24"/>
        </w:rPr>
        <w:t>systému VO na úsecích VO v obci Pertoltice pod Ralskem</w:t>
      </w:r>
      <w:r w:rsidRPr="00C35F8B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Realizace je navržena formou výměny stávající 76 ks zastaralých osvětlovacích těles za navrhovaná </w:t>
      </w:r>
      <w:r w:rsidR="00B23485">
        <w:rPr>
          <w:rFonts w:ascii="Times New Roman" w:hAnsi="Times New Roman" w:cs="Times New Roman"/>
          <w:bCs/>
          <w:sz w:val="24"/>
          <w:szCs w:val="24"/>
        </w:rPr>
        <w:t xml:space="preserve">bezúdržbová </w:t>
      </w:r>
      <w:r w:rsidR="0074612C" w:rsidRPr="0074612C">
        <w:rPr>
          <w:rFonts w:ascii="Times New Roman" w:hAnsi="Times New Roman" w:cs="Times New Roman"/>
          <w:sz w:val="24"/>
          <w:szCs w:val="24"/>
        </w:rPr>
        <w:t>osvětlovací tělesa s technologií LED</w:t>
      </w:r>
      <w:r w:rsidR="00B23485">
        <w:rPr>
          <w:rFonts w:ascii="Times New Roman" w:hAnsi="Times New Roman" w:cs="Times New Roman"/>
          <w:sz w:val="24"/>
          <w:szCs w:val="24"/>
        </w:rPr>
        <w:t xml:space="preserve"> s minimální požadovanou životností 50 000 hodin. </w:t>
      </w:r>
      <w:r w:rsidR="0074612C" w:rsidRPr="007461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485" w:rsidRPr="0074612C" w:rsidRDefault="00B23485" w:rsidP="00B234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A3B" w:rsidRDefault="00AD7A3B" w:rsidP="00ED41AB">
      <w:pPr>
        <w:pStyle w:val="Default"/>
        <w:rPr>
          <w:rFonts w:ascii="Times New Roman" w:hAnsi="Times New Roman" w:cs="Times New Roman"/>
        </w:rPr>
      </w:pPr>
      <w:r w:rsidRPr="00ED41AB">
        <w:rPr>
          <w:rFonts w:ascii="Times New Roman" w:hAnsi="Times New Roman" w:cs="Times New Roman"/>
        </w:rPr>
        <w:t xml:space="preserve">Při realizaci veřejné zakázky budou použity pouze výrobky a materiály, které splňují požadavky vyhlášky č. 268/2009 Sb. o technických požadavcích na stavby a dále § 156 zákona č. 183/2006 Sb. (Stavební zákon) a bude dodržena technologie provádění a příslušné normy. </w:t>
      </w:r>
    </w:p>
    <w:p w:rsidR="00B23485" w:rsidRPr="00ED41AB" w:rsidRDefault="00B23485" w:rsidP="00ED41AB">
      <w:pPr>
        <w:pStyle w:val="Default"/>
        <w:rPr>
          <w:rFonts w:ascii="Times New Roman" w:hAnsi="Times New Roman" w:cs="Times New Roman"/>
        </w:rPr>
      </w:pPr>
    </w:p>
    <w:p w:rsidR="00AD7A3B" w:rsidRDefault="00AD7A3B" w:rsidP="00AD7A3B">
      <w:pPr>
        <w:pStyle w:val="Default"/>
        <w:rPr>
          <w:rFonts w:ascii="Times New Roman" w:hAnsi="Times New Roman" w:cs="Times New Roman"/>
        </w:rPr>
      </w:pPr>
      <w:r w:rsidRPr="00ED41AB">
        <w:rPr>
          <w:rFonts w:ascii="Times New Roman" w:hAnsi="Times New Roman" w:cs="Times New Roman"/>
        </w:rPr>
        <w:t xml:space="preserve">Veškerá zařízení a materiály budou dodána nová, nepoužitá, schválená k užívání v České republice a nesmí být od doby výroby starší tří let. </w:t>
      </w:r>
    </w:p>
    <w:p w:rsidR="00B23485" w:rsidRPr="00ED41AB" w:rsidRDefault="00B23485" w:rsidP="00AD7A3B">
      <w:pPr>
        <w:pStyle w:val="Default"/>
        <w:rPr>
          <w:rFonts w:ascii="Times New Roman" w:hAnsi="Times New Roman" w:cs="Times New Roman"/>
        </w:rPr>
      </w:pPr>
    </w:p>
    <w:p w:rsidR="00074D6B" w:rsidRPr="00ED41AB" w:rsidRDefault="00AD7A3B" w:rsidP="00AD7A3B">
      <w:pPr>
        <w:rPr>
          <w:rFonts w:ascii="Times New Roman" w:hAnsi="Times New Roman" w:cs="Times New Roman"/>
          <w:sz w:val="24"/>
          <w:szCs w:val="24"/>
        </w:rPr>
      </w:pPr>
      <w:r w:rsidRPr="00ED41AB">
        <w:rPr>
          <w:rFonts w:ascii="Times New Roman" w:hAnsi="Times New Roman" w:cs="Times New Roman"/>
          <w:sz w:val="24"/>
          <w:szCs w:val="24"/>
        </w:rPr>
        <w:t>Při realizaci veřejné zakázky musí být dodržena ČSN EN 12 301 – Veřejné osvětlení komunikací.</w:t>
      </w:r>
      <w:bookmarkStart w:id="0" w:name="_GoBack"/>
      <w:bookmarkEnd w:id="0"/>
    </w:p>
    <w:sectPr w:rsidR="00074D6B" w:rsidRPr="00ED41AB" w:rsidSect="00ED41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A3B"/>
    <w:rsid w:val="00074D6B"/>
    <w:rsid w:val="0074612C"/>
    <w:rsid w:val="00AD7A3B"/>
    <w:rsid w:val="00B23485"/>
    <w:rsid w:val="00C35F8B"/>
    <w:rsid w:val="00ED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44C6D-ACEB-49B8-80B0-B4C36C59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D7A3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490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Janků Lukáš</dc:creator>
  <cp:keywords/>
  <dc:description/>
  <cp:lastModifiedBy>Janků Lukáš</cp:lastModifiedBy>
  <cp:revision>1</cp:revision>
  <dcterms:created xsi:type="dcterms:W3CDTF">2015-05-21T08:47:00Z</dcterms:created>
  <dcterms:modified xsi:type="dcterms:W3CDTF">2015-05-21T12:22:00Z</dcterms:modified>
</cp:coreProperties>
</file>