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10A" w:rsidRPr="008E610A" w:rsidRDefault="008E610A" w:rsidP="008E610A">
      <w:pPr>
        <w:autoSpaceDE w:val="0"/>
        <w:autoSpaceDN w:val="0"/>
        <w:adjustRightInd w:val="0"/>
        <w:jc w:val="center"/>
        <w:rPr>
          <w:rFonts w:ascii="CIDFont+F2" w:hAnsi="CIDFont+F2" w:cs="CIDFont+F2"/>
          <w:b/>
          <w:sz w:val="28"/>
          <w:szCs w:val="28"/>
        </w:rPr>
      </w:pPr>
      <w:r w:rsidRPr="008E610A">
        <w:rPr>
          <w:rFonts w:ascii="CIDFont+F2" w:hAnsi="CIDFont+F2" w:cs="CIDFont+F2"/>
          <w:b/>
          <w:sz w:val="28"/>
          <w:szCs w:val="28"/>
        </w:rPr>
        <w:t>Průvodní zpráva</w:t>
      </w:r>
      <w:r w:rsidR="00490BC5">
        <w:rPr>
          <w:rFonts w:ascii="CIDFont+F2" w:hAnsi="CIDFont+F2" w:cs="CIDFont+F2"/>
          <w:b/>
          <w:sz w:val="28"/>
          <w:szCs w:val="28"/>
        </w:rPr>
        <w:t xml:space="preserve"> k rozpočtu</w:t>
      </w:r>
    </w:p>
    <w:p w:rsidR="008E610A" w:rsidRDefault="008E610A" w:rsidP="002A79B7">
      <w:pPr>
        <w:autoSpaceDE w:val="0"/>
        <w:autoSpaceDN w:val="0"/>
        <w:adjustRightInd w:val="0"/>
        <w:rPr>
          <w:rFonts w:ascii="CIDFont+F2" w:hAnsi="CIDFont+F2" w:cs="CIDFont+F2"/>
        </w:rPr>
      </w:pPr>
    </w:p>
    <w:p w:rsidR="008E610A" w:rsidRDefault="008E610A" w:rsidP="002A79B7">
      <w:pPr>
        <w:autoSpaceDE w:val="0"/>
        <w:autoSpaceDN w:val="0"/>
        <w:adjustRightInd w:val="0"/>
        <w:rPr>
          <w:rFonts w:ascii="CIDFont+F2" w:hAnsi="CIDFont+F2" w:cs="CIDFont+F2"/>
        </w:rPr>
      </w:pPr>
    </w:p>
    <w:p w:rsidR="002A79B7" w:rsidRPr="008E610A" w:rsidRDefault="008E610A" w:rsidP="002A79B7">
      <w:pPr>
        <w:autoSpaceDE w:val="0"/>
        <w:autoSpaceDN w:val="0"/>
        <w:adjustRightInd w:val="0"/>
        <w:rPr>
          <w:rFonts w:ascii="CIDFont+F2" w:hAnsi="CIDFont+F2" w:cs="CIDFont+F2"/>
          <w:b/>
        </w:rPr>
      </w:pPr>
      <w:r w:rsidRPr="008E610A">
        <w:rPr>
          <w:rFonts w:ascii="CIDFont+F2" w:hAnsi="CIDFont+F2" w:cs="CIDFont+F2"/>
          <w:b/>
        </w:rPr>
        <w:t>I</w:t>
      </w:r>
      <w:r w:rsidR="002A79B7" w:rsidRPr="008E610A">
        <w:rPr>
          <w:rFonts w:ascii="CIDFont+F2" w:hAnsi="CIDFont+F2" w:cs="CIDFont+F2"/>
          <w:b/>
        </w:rPr>
        <w:t>dentifikační údaje</w:t>
      </w:r>
      <w:r w:rsidRPr="008E610A">
        <w:rPr>
          <w:rFonts w:ascii="CIDFont+F2" w:hAnsi="CIDFont+F2" w:cs="CIDFont+F2"/>
          <w:b/>
        </w:rPr>
        <w:t>:</w:t>
      </w:r>
    </w:p>
    <w:p w:rsidR="002A79B7" w:rsidRDefault="002A79B7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Název stavby: </w:t>
      </w:r>
      <w:r w:rsidR="008E610A">
        <w:rPr>
          <w:rFonts w:ascii="CIDFont+F1" w:hAnsi="CIDFont+F1" w:cs="CIDFont+F1"/>
          <w:sz w:val="22"/>
          <w:szCs w:val="22"/>
        </w:rPr>
        <w:t>Oprava komunikace pro pěší u č.p. 332-337</w:t>
      </w:r>
      <w:r w:rsidR="00EA6315">
        <w:rPr>
          <w:rFonts w:ascii="CIDFont+F1" w:hAnsi="CIDFont+F1" w:cs="CIDFont+F1"/>
          <w:sz w:val="22"/>
          <w:szCs w:val="22"/>
        </w:rPr>
        <w:t>, Ralsko-Ploužnice</w:t>
      </w:r>
    </w:p>
    <w:p w:rsidR="002A79B7" w:rsidRDefault="002A79B7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Místo stavby: </w:t>
      </w:r>
      <w:r w:rsidR="008E610A">
        <w:rPr>
          <w:rFonts w:ascii="CIDFont+F1" w:hAnsi="CIDFont+F1" w:cs="CIDFont+F1"/>
          <w:sz w:val="22"/>
          <w:szCs w:val="22"/>
        </w:rPr>
        <w:t>Ralsko-Ploužnice, č.p. 332-337</w:t>
      </w:r>
    </w:p>
    <w:p w:rsidR="008E610A" w:rsidRDefault="008E610A" w:rsidP="002A79B7">
      <w:pPr>
        <w:autoSpaceDE w:val="0"/>
        <w:autoSpaceDN w:val="0"/>
        <w:adjustRightInd w:val="0"/>
        <w:rPr>
          <w:rFonts w:ascii="CIDFont+F2" w:hAnsi="CIDFont+F2" w:cs="CIDFont+F2"/>
        </w:rPr>
      </w:pPr>
    </w:p>
    <w:p w:rsidR="002A79B7" w:rsidRPr="008E610A" w:rsidRDefault="008E610A" w:rsidP="002A79B7">
      <w:pPr>
        <w:autoSpaceDE w:val="0"/>
        <w:autoSpaceDN w:val="0"/>
        <w:adjustRightInd w:val="0"/>
        <w:rPr>
          <w:rFonts w:ascii="CIDFont+F2" w:hAnsi="CIDFont+F2" w:cs="CIDFont+F2"/>
          <w:b/>
        </w:rPr>
      </w:pPr>
      <w:r w:rsidRPr="008E610A">
        <w:rPr>
          <w:rFonts w:ascii="CIDFont+F2" w:hAnsi="CIDFont+F2" w:cs="CIDFont+F2"/>
          <w:b/>
        </w:rPr>
        <w:t>N</w:t>
      </w:r>
      <w:r w:rsidR="002A79B7" w:rsidRPr="008E610A">
        <w:rPr>
          <w:rFonts w:ascii="CIDFont+F2" w:hAnsi="CIDFont+F2" w:cs="CIDFont+F2"/>
          <w:b/>
        </w:rPr>
        <w:t>ávrh zpevněných ploch</w:t>
      </w:r>
      <w:r>
        <w:rPr>
          <w:rFonts w:ascii="CIDFont+F2" w:hAnsi="CIDFont+F2" w:cs="CIDFont+F2"/>
          <w:b/>
        </w:rPr>
        <w:t>:</w:t>
      </w:r>
    </w:p>
    <w:p w:rsidR="008E159B" w:rsidRDefault="008E159B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Důraz je kladen na spádování zpevněných ploch směrem od budovy a plynulé směrové a výškové napojení na všechny sousední zpevněné plochy a vstupy do budov.</w:t>
      </w:r>
    </w:p>
    <w:p w:rsidR="00186340" w:rsidRDefault="00186340" w:rsidP="00186340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Napojení chodníků a komunikací je řešeno bezbariérově. Chodníky v potřebných místech mají snížený obrubník (max. 0,02m nad vozovkou).</w:t>
      </w:r>
    </w:p>
    <w:p w:rsidR="00490BC5" w:rsidRDefault="00490BC5" w:rsidP="002A79B7">
      <w:pPr>
        <w:autoSpaceDE w:val="0"/>
        <w:autoSpaceDN w:val="0"/>
        <w:adjustRightInd w:val="0"/>
        <w:rPr>
          <w:rFonts w:ascii="CIDFont+F1" w:hAnsi="CIDFont+F1" w:cs="CIDFont+F1"/>
          <w:b/>
          <w:sz w:val="22"/>
          <w:szCs w:val="22"/>
        </w:rPr>
      </w:pPr>
    </w:p>
    <w:p w:rsidR="002A79B7" w:rsidRPr="00B66A28" w:rsidRDefault="002A79B7" w:rsidP="002A79B7">
      <w:pPr>
        <w:autoSpaceDE w:val="0"/>
        <w:autoSpaceDN w:val="0"/>
        <w:adjustRightInd w:val="0"/>
        <w:rPr>
          <w:rFonts w:ascii="CIDFont+F1" w:hAnsi="CIDFont+F1" w:cs="CIDFont+F1"/>
          <w:b/>
          <w:sz w:val="22"/>
          <w:szCs w:val="22"/>
        </w:rPr>
      </w:pPr>
      <w:r w:rsidRPr="00B66A28">
        <w:rPr>
          <w:rFonts w:ascii="CIDFont+F1" w:hAnsi="CIDFont+F1" w:cs="CIDFont+F1"/>
          <w:b/>
          <w:sz w:val="22"/>
          <w:szCs w:val="22"/>
        </w:rPr>
        <w:t>Příprava území</w:t>
      </w:r>
      <w:r w:rsidR="005E726B">
        <w:rPr>
          <w:rFonts w:ascii="CIDFont+F1" w:hAnsi="CIDFont+F1" w:cs="CIDFont+F1"/>
          <w:b/>
          <w:sz w:val="22"/>
          <w:szCs w:val="22"/>
        </w:rPr>
        <w:t xml:space="preserve"> počítaná v rozpočtu</w:t>
      </w:r>
      <w:r w:rsidRPr="00B66A28">
        <w:rPr>
          <w:rFonts w:ascii="CIDFont+F1" w:hAnsi="CIDFont+F1" w:cs="CIDFont+F1"/>
          <w:b/>
          <w:sz w:val="22"/>
          <w:szCs w:val="22"/>
        </w:rPr>
        <w:t>:</w:t>
      </w:r>
    </w:p>
    <w:p w:rsidR="008E610A" w:rsidRDefault="002A79B7" w:rsidP="00B66A28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V rámci stavby </w:t>
      </w:r>
      <w:r w:rsidR="008E610A">
        <w:rPr>
          <w:rFonts w:ascii="CIDFont+F1" w:hAnsi="CIDFont+F1" w:cs="CIDFont+F1"/>
          <w:sz w:val="22"/>
          <w:szCs w:val="22"/>
        </w:rPr>
        <w:t xml:space="preserve">je </w:t>
      </w:r>
      <w:r>
        <w:rPr>
          <w:rFonts w:ascii="CIDFont+F1" w:hAnsi="CIDFont+F1" w:cs="CIDFont+F1"/>
          <w:sz w:val="22"/>
          <w:szCs w:val="22"/>
        </w:rPr>
        <w:t>nutná příprava území ve smyslu</w:t>
      </w:r>
      <w:r w:rsidR="008E610A">
        <w:rPr>
          <w:rFonts w:ascii="CIDFont+F1" w:hAnsi="CIDFont+F1" w:cs="CIDFont+F1"/>
          <w:sz w:val="22"/>
          <w:szCs w:val="22"/>
        </w:rPr>
        <w:t xml:space="preserve"> </w:t>
      </w:r>
      <w:r>
        <w:rPr>
          <w:rFonts w:ascii="CIDFont+F1" w:hAnsi="CIDFont+F1" w:cs="CIDFont+F1"/>
          <w:sz w:val="22"/>
          <w:szCs w:val="22"/>
        </w:rPr>
        <w:t xml:space="preserve">bourání či rozebírání konstrukcí apod. </w:t>
      </w:r>
      <w:r w:rsidR="008E610A">
        <w:rPr>
          <w:rFonts w:ascii="CIDFont+F1" w:hAnsi="CIDFont+F1" w:cs="CIDFont+F1"/>
          <w:sz w:val="22"/>
          <w:szCs w:val="22"/>
        </w:rPr>
        <w:t xml:space="preserve">Stávající asfaltová vrstva v předpokládané tloušťce 50mm bude odstraněna stejně jako </w:t>
      </w:r>
      <w:r w:rsidR="00B66A28">
        <w:rPr>
          <w:rFonts w:ascii="CIDFont+F1" w:hAnsi="CIDFont+F1" w:cs="CIDFont+F1"/>
          <w:sz w:val="22"/>
          <w:szCs w:val="22"/>
        </w:rPr>
        <w:t xml:space="preserve">podkladní vrstva v předpokládané tloušťce 150mm. </w:t>
      </w:r>
      <w:r w:rsidR="008E610A">
        <w:rPr>
          <w:rFonts w:ascii="CIDFont+F1" w:hAnsi="CIDFont+F1" w:cs="CIDFont+F1"/>
          <w:sz w:val="22"/>
          <w:szCs w:val="22"/>
        </w:rPr>
        <w:t xml:space="preserve"> </w:t>
      </w:r>
    </w:p>
    <w:p w:rsidR="00B66A28" w:rsidRDefault="00B66A28" w:rsidP="00B66A28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Dále bude vybourán nájezd před č.p.333 ze zámkové dlažby, vytrhány pak budou všechny příslušné obrubníky. </w:t>
      </w:r>
    </w:p>
    <w:p w:rsidR="00B66A28" w:rsidRDefault="00B66A28" w:rsidP="00B66A28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Rozpočet počítá s hloubením rýh pro osazení nových obrub a s odkopávkami v tloušťce přibližně 100mm pro novou skladbu komunikace pro pěší.</w:t>
      </w:r>
    </w:p>
    <w:p w:rsidR="00B66A28" w:rsidRDefault="00B66A28" w:rsidP="00B66A28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Výkopek a suť bude odvezena na mezideponii investora. Poplatek za skládku nebude účtován – není tedy součástí rozpočtu.</w:t>
      </w:r>
    </w:p>
    <w:p w:rsidR="00490BC5" w:rsidRDefault="00490BC5" w:rsidP="00B66A28">
      <w:pPr>
        <w:autoSpaceDE w:val="0"/>
        <w:autoSpaceDN w:val="0"/>
        <w:adjustRightInd w:val="0"/>
        <w:jc w:val="both"/>
        <w:rPr>
          <w:rFonts w:ascii="CIDFont+F1" w:hAnsi="CIDFont+F1" w:cs="CIDFont+F1"/>
          <w:b/>
          <w:sz w:val="22"/>
          <w:szCs w:val="22"/>
        </w:rPr>
      </w:pPr>
    </w:p>
    <w:p w:rsidR="002A79B7" w:rsidRPr="00B66A28" w:rsidRDefault="002A79B7" w:rsidP="00B66A28">
      <w:pPr>
        <w:autoSpaceDE w:val="0"/>
        <w:autoSpaceDN w:val="0"/>
        <w:adjustRightInd w:val="0"/>
        <w:jc w:val="both"/>
        <w:rPr>
          <w:rFonts w:ascii="CIDFont+F1" w:hAnsi="CIDFont+F1" w:cs="CIDFont+F1"/>
          <w:b/>
          <w:sz w:val="22"/>
          <w:szCs w:val="22"/>
        </w:rPr>
      </w:pPr>
      <w:r w:rsidRPr="00B66A28">
        <w:rPr>
          <w:rFonts w:ascii="CIDFont+F1" w:hAnsi="CIDFont+F1" w:cs="CIDFont+F1"/>
          <w:b/>
          <w:sz w:val="22"/>
          <w:szCs w:val="22"/>
        </w:rPr>
        <w:t>Konstrukční návrh:</w:t>
      </w:r>
    </w:p>
    <w:p w:rsidR="002A79B7" w:rsidRDefault="002A79B7" w:rsidP="002A79B7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>Konstrukce zpevněné plochy – pochozí betonová dlažba – (D2-D-1-PII-CH):</w:t>
      </w:r>
    </w:p>
    <w:p w:rsidR="002A79B7" w:rsidRDefault="002A79B7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Betonová dlažba </w:t>
      </w:r>
      <w:r w:rsidR="008E159B">
        <w:rPr>
          <w:rFonts w:ascii="CIDFont+F1" w:hAnsi="CIDFont+F1" w:cs="CIDFont+F1"/>
          <w:sz w:val="22"/>
          <w:szCs w:val="22"/>
        </w:rPr>
        <w:t xml:space="preserve">           </w:t>
      </w:r>
      <w:r>
        <w:rPr>
          <w:rFonts w:ascii="CIDFont+F1" w:hAnsi="CIDFont+F1" w:cs="CIDFont+F1"/>
          <w:sz w:val="22"/>
          <w:szCs w:val="22"/>
        </w:rPr>
        <w:t xml:space="preserve">DL </w:t>
      </w:r>
      <w:r w:rsidR="008E159B">
        <w:rPr>
          <w:rFonts w:ascii="CIDFont+F1" w:hAnsi="CIDFont+F1" w:cs="CIDFont+F1"/>
          <w:sz w:val="22"/>
          <w:szCs w:val="22"/>
        </w:rPr>
        <w:t xml:space="preserve">                 </w:t>
      </w:r>
      <w:r>
        <w:rPr>
          <w:rFonts w:ascii="CIDFont+F1" w:hAnsi="CIDFont+F1" w:cs="CIDFont+F1"/>
          <w:sz w:val="22"/>
          <w:szCs w:val="22"/>
        </w:rPr>
        <w:t xml:space="preserve">60mm </w:t>
      </w:r>
      <w:r w:rsidR="008E159B">
        <w:rPr>
          <w:rFonts w:ascii="CIDFont+F1" w:hAnsi="CIDFont+F1" w:cs="CIDFont+F1"/>
          <w:sz w:val="22"/>
          <w:szCs w:val="22"/>
        </w:rPr>
        <w:t xml:space="preserve">                             </w:t>
      </w:r>
      <w:r>
        <w:rPr>
          <w:rFonts w:ascii="CIDFont+F1" w:hAnsi="CIDFont+F1" w:cs="CIDFont+F1"/>
          <w:sz w:val="22"/>
          <w:szCs w:val="22"/>
        </w:rPr>
        <w:t>ČSN 73 6131</w:t>
      </w:r>
    </w:p>
    <w:p w:rsidR="002A79B7" w:rsidRDefault="002A79B7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Ložní vrstva </w:t>
      </w:r>
      <w:r w:rsidR="008E159B">
        <w:rPr>
          <w:rFonts w:ascii="CIDFont+F1" w:hAnsi="CIDFont+F1" w:cs="CIDFont+F1"/>
          <w:sz w:val="22"/>
          <w:szCs w:val="22"/>
        </w:rPr>
        <w:t xml:space="preserve">                  </w:t>
      </w:r>
      <w:r>
        <w:rPr>
          <w:rFonts w:ascii="CIDFont+F1" w:hAnsi="CIDFont+F1" w:cs="CIDFont+F1"/>
          <w:sz w:val="22"/>
          <w:szCs w:val="22"/>
        </w:rPr>
        <w:t xml:space="preserve">L </w:t>
      </w:r>
      <w:r w:rsidR="008E159B">
        <w:rPr>
          <w:rFonts w:ascii="CIDFont+F1" w:hAnsi="CIDFont+F1" w:cs="CIDFont+F1"/>
          <w:sz w:val="22"/>
          <w:szCs w:val="22"/>
        </w:rPr>
        <w:t xml:space="preserve">                    </w:t>
      </w:r>
      <w:r>
        <w:rPr>
          <w:rFonts w:ascii="CIDFont+F1" w:hAnsi="CIDFont+F1" w:cs="CIDFont+F1"/>
          <w:sz w:val="22"/>
          <w:szCs w:val="22"/>
        </w:rPr>
        <w:t xml:space="preserve">30mm </w:t>
      </w:r>
      <w:r w:rsidR="008E159B">
        <w:rPr>
          <w:rFonts w:ascii="CIDFont+F1" w:hAnsi="CIDFont+F1" w:cs="CIDFont+F1"/>
          <w:sz w:val="22"/>
          <w:szCs w:val="22"/>
        </w:rPr>
        <w:t xml:space="preserve">                             </w:t>
      </w:r>
      <w:r>
        <w:rPr>
          <w:rFonts w:ascii="CIDFont+F1" w:hAnsi="CIDFont+F1" w:cs="CIDFont+F1"/>
          <w:sz w:val="22"/>
          <w:szCs w:val="22"/>
        </w:rPr>
        <w:t>ČSN 73 6131-1</w:t>
      </w:r>
    </w:p>
    <w:p w:rsidR="002A79B7" w:rsidRDefault="002A79B7" w:rsidP="008E159B">
      <w:pPr>
        <w:pBdr>
          <w:bottom w:val="single" w:sz="4" w:space="1" w:color="auto"/>
        </w:pBd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Štěrkodrť (třída B) </w:t>
      </w:r>
      <w:r w:rsidR="008E159B">
        <w:rPr>
          <w:rFonts w:ascii="CIDFont+F1" w:hAnsi="CIDFont+F1" w:cs="CIDFont+F1"/>
          <w:sz w:val="22"/>
          <w:szCs w:val="22"/>
        </w:rPr>
        <w:t xml:space="preserve">        </w:t>
      </w:r>
      <w:r>
        <w:rPr>
          <w:rFonts w:ascii="CIDFont+F1" w:hAnsi="CIDFont+F1" w:cs="CIDFont+F1"/>
          <w:sz w:val="22"/>
          <w:szCs w:val="22"/>
        </w:rPr>
        <w:t>ŠD</w:t>
      </w:r>
      <w:r>
        <w:rPr>
          <w:rFonts w:ascii="CIDFont+F1" w:hAnsi="CIDFont+F1" w:cs="CIDFont+F1"/>
          <w:sz w:val="14"/>
          <w:szCs w:val="14"/>
        </w:rPr>
        <w:t xml:space="preserve">B </w:t>
      </w:r>
      <w:r w:rsidR="008E159B">
        <w:rPr>
          <w:rFonts w:ascii="CIDFont+F1" w:hAnsi="CIDFont+F1" w:cs="CIDFont+F1"/>
          <w:sz w:val="14"/>
          <w:szCs w:val="14"/>
        </w:rPr>
        <w:t xml:space="preserve">            </w:t>
      </w:r>
      <w:r>
        <w:rPr>
          <w:rFonts w:ascii="CIDFont+F1" w:hAnsi="CIDFont+F1" w:cs="CIDFont+F1"/>
          <w:sz w:val="22"/>
          <w:szCs w:val="22"/>
        </w:rPr>
        <w:t xml:space="preserve">min. 150mm </w:t>
      </w:r>
      <w:r w:rsidR="008E159B">
        <w:rPr>
          <w:rFonts w:ascii="CIDFont+F1" w:hAnsi="CIDFont+F1" w:cs="CIDFont+F1"/>
          <w:sz w:val="22"/>
          <w:szCs w:val="22"/>
        </w:rPr>
        <w:t xml:space="preserve">                            </w:t>
      </w:r>
      <w:r>
        <w:rPr>
          <w:rFonts w:ascii="CIDFont+F1" w:hAnsi="CIDFont+F1" w:cs="CIDFont+F1"/>
          <w:sz w:val="22"/>
          <w:szCs w:val="22"/>
        </w:rPr>
        <w:t>ČSN 73 6126</w:t>
      </w:r>
    </w:p>
    <w:p w:rsidR="002A79B7" w:rsidRDefault="002A79B7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Konstrukce celkem </w:t>
      </w:r>
      <w:r w:rsidR="008E159B">
        <w:rPr>
          <w:rFonts w:ascii="CIDFont+F1" w:hAnsi="CIDFont+F1" w:cs="CIDFont+F1"/>
          <w:sz w:val="22"/>
          <w:szCs w:val="22"/>
        </w:rPr>
        <w:t xml:space="preserve">                      </w:t>
      </w:r>
      <w:r>
        <w:rPr>
          <w:rFonts w:ascii="CIDFont+F1" w:hAnsi="CIDFont+F1" w:cs="CIDFont+F1"/>
          <w:sz w:val="22"/>
          <w:szCs w:val="22"/>
        </w:rPr>
        <w:t>min. 240mm</w:t>
      </w:r>
    </w:p>
    <w:p w:rsidR="00B66A28" w:rsidRDefault="00B66A28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Pozn.: V rozpočtu je uvažováno s mocností štěrkodrti 150+50mm, konstrukce celkem bude tedy 290mm.</w:t>
      </w:r>
    </w:p>
    <w:p w:rsidR="002A79B7" w:rsidRDefault="002A79B7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Zemní pláň a jednotlivé vrstvy budou zhutněny na min. modul přetvárnosti Edef,2. </w:t>
      </w:r>
    </w:p>
    <w:p w:rsidR="00B66A28" w:rsidRDefault="00B66A28" w:rsidP="008E159B">
      <w:pPr>
        <w:autoSpaceDE w:val="0"/>
        <w:autoSpaceDN w:val="0"/>
        <w:adjustRightInd w:val="0"/>
        <w:jc w:val="both"/>
        <w:rPr>
          <w:rFonts w:ascii="CIDFont+F6" w:hAnsi="CIDFont+F6" w:cs="CIDFont+F6"/>
          <w:sz w:val="22"/>
          <w:szCs w:val="22"/>
        </w:rPr>
      </w:pPr>
    </w:p>
    <w:p w:rsidR="002A79B7" w:rsidRPr="008E159B" w:rsidRDefault="008E159B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b/>
          <w:sz w:val="22"/>
          <w:szCs w:val="22"/>
        </w:rPr>
      </w:pPr>
      <w:r w:rsidRPr="008E159B">
        <w:rPr>
          <w:rFonts w:ascii="CIDFont+F1" w:hAnsi="CIDFont+F1" w:cs="CIDFont+F1"/>
          <w:b/>
          <w:sz w:val="22"/>
          <w:szCs w:val="22"/>
        </w:rPr>
        <w:t>Prostorové řešení</w:t>
      </w:r>
      <w:r w:rsidR="005E726B">
        <w:rPr>
          <w:rFonts w:ascii="CIDFont+F1" w:hAnsi="CIDFont+F1" w:cs="CIDFont+F1"/>
          <w:b/>
          <w:sz w:val="22"/>
          <w:szCs w:val="22"/>
        </w:rPr>
        <w:t xml:space="preserve"> uvažované v rozpočtu</w:t>
      </w:r>
      <w:r w:rsidR="002A79B7" w:rsidRPr="008E159B">
        <w:rPr>
          <w:rFonts w:ascii="CIDFont+F1" w:hAnsi="CIDFont+F1" w:cs="CIDFont+F1"/>
          <w:b/>
          <w:sz w:val="22"/>
          <w:szCs w:val="22"/>
        </w:rPr>
        <w:t>:</w:t>
      </w:r>
    </w:p>
    <w:p w:rsidR="002A79B7" w:rsidRDefault="008E159B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Jedná se o podélný chodník před průčelím panelového domu</w:t>
      </w:r>
      <w:r w:rsidR="002A79B7">
        <w:rPr>
          <w:rFonts w:ascii="CIDFont+F1" w:hAnsi="CIDFont+F1" w:cs="CIDFont+F1"/>
          <w:sz w:val="22"/>
          <w:szCs w:val="22"/>
        </w:rPr>
        <w:t>.</w:t>
      </w:r>
    </w:p>
    <w:p w:rsidR="008E159B" w:rsidRDefault="008E159B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Dále o vstupy z podélného chodníku do jednotlivých sekcí  (6 kusů).</w:t>
      </w:r>
    </w:p>
    <w:p w:rsidR="008E159B" w:rsidRDefault="008E159B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Dále o chodník podél boční strany objektu.</w:t>
      </w:r>
    </w:p>
    <w:p w:rsidR="008E159B" w:rsidRDefault="008E159B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Dále o </w:t>
      </w:r>
      <w:r w:rsidR="002655C6">
        <w:rPr>
          <w:rFonts w:ascii="CIDFont+F1" w:hAnsi="CIDFont+F1" w:cs="CIDFont+F1"/>
          <w:sz w:val="22"/>
          <w:szCs w:val="22"/>
        </w:rPr>
        <w:t xml:space="preserve">bezbariérové přístupy </w:t>
      </w:r>
      <w:r>
        <w:rPr>
          <w:rFonts w:ascii="CIDFont+F1" w:hAnsi="CIDFont+F1" w:cs="CIDFont+F1"/>
          <w:sz w:val="22"/>
          <w:szCs w:val="22"/>
        </w:rPr>
        <w:t xml:space="preserve">z chodníku na komunikaci (6 kusů) </w:t>
      </w:r>
    </w:p>
    <w:p w:rsidR="002A79B7" w:rsidRDefault="002A79B7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Výškové umístění a podélné sklony vychází z výšek okolního terénu, zpevněných ploch a budov</w:t>
      </w:r>
      <w:r w:rsidR="008E159B">
        <w:rPr>
          <w:rFonts w:ascii="CIDFont+F1" w:hAnsi="CIDFont+F1" w:cs="CIDFont+F1"/>
          <w:sz w:val="22"/>
          <w:szCs w:val="22"/>
        </w:rPr>
        <w:t xml:space="preserve"> a stávajícího chodníku</w:t>
      </w:r>
      <w:r>
        <w:rPr>
          <w:rFonts w:ascii="CIDFont+F1" w:hAnsi="CIDFont+F1" w:cs="CIDFont+F1"/>
          <w:sz w:val="22"/>
          <w:szCs w:val="22"/>
        </w:rPr>
        <w:t>.</w:t>
      </w:r>
    </w:p>
    <w:p w:rsidR="008E159B" w:rsidRDefault="008E159B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</w:p>
    <w:p w:rsidR="002A79B7" w:rsidRPr="002655C6" w:rsidRDefault="002A79B7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b/>
          <w:sz w:val="22"/>
          <w:szCs w:val="22"/>
        </w:rPr>
      </w:pPr>
      <w:r w:rsidRPr="002655C6">
        <w:rPr>
          <w:rFonts w:ascii="CIDFont+F1" w:hAnsi="CIDFont+F1" w:cs="CIDFont+F1"/>
          <w:b/>
          <w:sz w:val="22"/>
          <w:szCs w:val="22"/>
        </w:rPr>
        <w:t>Šířkové uspořádání</w:t>
      </w:r>
      <w:r w:rsidR="005E726B">
        <w:rPr>
          <w:rFonts w:ascii="CIDFont+F1" w:hAnsi="CIDFont+F1" w:cs="CIDFont+F1"/>
          <w:b/>
          <w:sz w:val="22"/>
          <w:szCs w:val="22"/>
        </w:rPr>
        <w:t xml:space="preserve"> započítané v rozpočtu</w:t>
      </w:r>
      <w:r w:rsidRPr="002655C6">
        <w:rPr>
          <w:rFonts w:ascii="CIDFont+F1" w:hAnsi="CIDFont+F1" w:cs="CIDFont+F1"/>
          <w:b/>
          <w:sz w:val="22"/>
          <w:szCs w:val="22"/>
        </w:rPr>
        <w:t>:</w:t>
      </w:r>
    </w:p>
    <w:p w:rsidR="002655C6" w:rsidRDefault="002A79B7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Šířka </w:t>
      </w:r>
      <w:r w:rsidR="008E159B">
        <w:rPr>
          <w:rFonts w:ascii="CIDFont+F1" w:hAnsi="CIDFont+F1" w:cs="CIDFont+F1"/>
          <w:sz w:val="22"/>
          <w:szCs w:val="22"/>
        </w:rPr>
        <w:t>chodníků dodržuje stávající stav, tedy</w:t>
      </w:r>
      <w:r w:rsidR="005E726B">
        <w:rPr>
          <w:rFonts w:ascii="CIDFont+F1" w:hAnsi="CIDFont+F1" w:cs="CIDFont+F1"/>
          <w:sz w:val="22"/>
          <w:szCs w:val="22"/>
        </w:rPr>
        <w:t>:</w:t>
      </w:r>
      <w:r w:rsidR="008E159B">
        <w:rPr>
          <w:rFonts w:ascii="CIDFont+F1" w:hAnsi="CIDFont+F1" w:cs="CIDFont+F1"/>
          <w:sz w:val="22"/>
          <w:szCs w:val="22"/>
        </w:rPr>
        <w:t xml:space="preserve"> podélný chodník </w:t>
      </w:r>
      <w:r w:rsidR="002655C6">
        <w:rPr>
          <w:rFonts w:ascii="CIDFont+F1" w:hAnsi="CIDFont+F1" w:cs="CIDFont+F1"/>
          <w:sz w:val="22"/>
          <w:szCs w:val="22"/>
        </w:rPr>
        <w:t xml:space="preserve">je počítán v rozpočtu </w:t>
      </w:r>
      <w:r w:rsidR="008E159B">
        <w:rPr>
          <w:rFonts w:ascii="CIDFont+F1" w:hAnsi="CIDFont+F1" w:cs="CIDFont+F1"/>
          <w:sz w:val="22"/>
          <w:szCs w:val="22"/>
        </w:rPr>
        <w:t>šíře 1</w:t>
      </w:r>
      <w:r w:rsidR="002655C6">
        <w:rPr>
          <w:rFonts w:ascii="CIDFont+F1" w:hAnsi="CIDFont+F1" w:cs="CIDFont+F1"/>
          <w:sz w:val="22"/>
          <w:szCs w:val="22"/>
        </w:rPr>
        <w:t>,</w:t>
      </w:r>
      <w:r w:rsidR="008E159B">
        <w:rPr>
          <w:rFonts w:ascii="CIDFont+F1" w:hAnsi="CIDFont+F1" w:cs="CIDFont+F1"/>
          <w:sz w:val="22"/>
          <w:szCs w:val="22"/>
        </w:rPr>
        <w:t>5m, vstupy do objektu 2</w:t>
      </w:r>
      <w:r w:rsidR="002655C6">
        <w:rPr>
          <w:rFonts w:ascii="CIDFont+F1" w:hAnsi="CIDFont+F1" w:cs="CIDFont+F1"/>
          <w:sz w:val="22"/>
          <w:szCs w:val="22"/>
        </w:rPr>
        <w:t>,</w:t>
      </w:r>
      <w:r w:rsidR="008E159B">
        <w:rPr>
          <w:rFonts w:ascii="CIDFont+F1" w:hAnsi="CIDFont+F1" w:cs="CIDFont+F1"/>
          <w:sz w:val="22"/>
          <w:szCs w:val="22"/>
        </w:rPr>
        <w:t xml:space="preserve">55m, </w:t>
      </w:r>
      <w:r w:rsidR="002655C6">
        <w:rPr>
          <w:rFonts w:ascii="CIDFont+F1" w:hAnsi="CIDFont+F1" w:cs="CIDFont+F1"/>
          <w:sz w:val="22"/>
          <w:szCs w:val="22"/>
        </w:rPr>
        <w:t xml:space="preserve">boční chodník 2,2m. </w:t>
      </w:r>
    </w:p>
    <w:p w:rsidR="002A79B7" w:rsidRDefault="002655C6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Bezbariérové přístupy z chodníku na komunikaci </w:t>
      </w:r>
      <w:r w:rsidR="005E726B">
        <w:rPr>
          <w:rFonts w:ascii="CIDFont+F1" w:hAnsi="CIDFont+F1" w:cs="CIDFont+F1"/>
          <w:sz w:val="22"/>
          <w:szCs w:val="22"/>
        </w:rPr>
        <w:t>jsou počítány</w:t>
      </w:r>
      <w:r>
        <w:rPr>
          <w:rFonts w:ascii="CIDFont+F1" w:hAnsi="CIDFont+F1" w:cs="CIDFont+F1"/>
          <w:sz w:val="22"/>
          <w:szCs w:val="22"/>
        </w:rPr>
        <w:t xml:space="preserve"> ve tvaru lichoběžníku se základnami 3,4m a 1,6m, s výškou 1,1m.</w:t>
      </w:r>
      <w:r w:rsidR="002A79B7">
        <w:rPr>
          <w:rFonts w:ascii="CIDFont+F1" w:hAnsi="CIDFont+F1" w:cs="CIDFont+F1"/>
          <w:sz w:val="22"/>
          <w:szCs w:val="22"/>
        </w:rPr>
        <w:t xml:space="preserve"> </w:t>
      </w:r>
    </w:p>
    <w:p w:rsidR="002655C6" w:rsidRDefault="002655C6" w:rsidP="008E159B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</w:p>
    <w:p w:rsidR="002A79B7" w:rsidRPr="002655C6" w:rsidRDefault="002A79B7" w:rsidP="002A79B7">
      <w:pPr>
        <w:autoSpaceDE w:val="0"/>
        <w:autoSpaceDN w:val="0"/>
        <w:adjustRightInd w:val="0"/>
        <w:rPr>
          <w:rFonts w:ascii="CIDFont+F1" w:hAnsi="CIDFont+F1" w:cs="CIDFont+F1"/>
          <w:b/>
          <w:sz w:val="22"/>
          <w:szCs w:val="22"/>
        </w:rPr>
      </w:pPr>
      <w:r w:rsidRPr="002655C6">
        <w:rPr>
          <w:rFonts w:ascii="CIDFont+F1" w:hAnsi="CIDFont+F1" w:cs="CIDFont+F1"/>
          <w:b/>
          <w:sz w:val="22"/>
          <w:szCs w:val="22"/>
        </w:rPr>
        <w:t>Materiálové řešení</w:t>
      </w:r>
      <w:r w:rsidR="005E726B">
        <w:rPr>
          <w:rFonts w:ascii="CIDFont+F1" w:hAnsi="CIDFont+F1" w:cs="CIDFont+F1"/>
          <w:b/>
          <w:sz w:val="22"/>
          <w:szCs w:val="22"/>
        </w:rPr>
        <w:t xml:space="preserve"> použité v rozpočtu</w:t>
      </w:r>
      <w:r w:rsidRPr="002655C6">
        <w:rPr>
          <w:rFonts w:ascii="CIDFont+F1" w:hAnsi="CIDFont+F1" w:cs="CIDFont+F1"/>
          <w:b/>
          <w:sz w:val="22"/>
          <w:szCs w:val="22"/>
        </w:rPr>
        <w:t>:</w:t>
      </w:r>
    </w:p>
    <w:p w:rsidR="002A79B7" w:rsidRDefault="002655C6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Na chodníky</w:t>
      </w:r>
      <w:r w:rsidR="002A79B7">
        <w:rPr>
          <w:rFonts w:ascii="CIDFont+F1" w:hAnsi="CIDFont+F1" w:cs="CIDFont+F1"/>
          <w:sz w:val="22"/>
          <w:szCs w:val="22"/>
        </w:rPr>
        <w:t xml:space="preserve"> bude použita betonová dlažba v šedém odstínu.</w:t>
      </w:r>
    </w:p>
    <w:p w:rsidR="002A79B7" w:rsidRDefault="002A79B7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Skladebné rozměry-tvar výrobku:</w:t>
      </w:r>
      <w:r w:rsidR="002655C6">
        <w:rPr>
          <w:rFonts w:ascii="CIDFont+F1" w:hAnsi="CIDFont+F1" w:cs="CIDFont+F1"/>
          <w:sz w:val="22"/>
          <w:szCs w:val="22"/>
        </w:rPr>
        <w:t xml:space="preserve"> obdoba stávající, na kterou se chodník napojuje.</w:t>
      </w:r>
    </w:p>
    <w:p w:rsidR="00490BC5" w:rsidRDefault="002A79B7" w:rsidP="00490BC5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Obrubníky:</w:t>
      </w:r>
    </w:p>
    <w:p w:rsidR="002A79B7" w:rsidRDefault="002655C6" w:rsidP="00490BC5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Podélný chodník bude lemován</w:t>
      </w:r>
      <w:r w:rsidR="002A79B7">
        <w:rPr>
          <w:rFonts w:ascii="CIDFont+F1" w:hAnsi="CIDFont+F1" w:cs="CIDFont+F1"/>
          <w:sz w:val="22"/>
          <w:szCs w:val="22"/>
        </w:rPr>
        <w:t xml:space="preserve"> betonovým silničním obrubníkem 1</w:t>
      </w:r>
      <w:r>
        <w:rPr>
          <w:rFonts w:ascii="CIDFont+F1" w:hAnsi="CIDFont+F1" w:cs="CIDFont+F1"/>
          <w:sz w:val="22"/>
          <w:szCs w:val="22"/>
        </w:rPr>
        <w:t>0</w:t>
      </w:r>
      <w:r w:rsidR="002A79B7">
        <w:rPr>
          <w:rFonts w:ascii="CIDFont+F1" w:hAnsi="CIDFont+F1" w:cs="CIDFont+F1"/>
          <w:sz w:val="22"/>
          <w:szCs w:val="22"/>
        </w:rPr>
        <w:t>0x250x1000mm</w:t>
      </w:r>
      <w:r w:rsidR="00186340">
        <w:rPr>
          <w:rFonts w:ascii="CIDFont+F1" w:hAnsi="CIDFont+F1" w:cs="CIDFont+F1"/>
          <w:sz w:val="22"/>
          <w:szCs w:val="22"/>
        </w:rPr>
        <w:t xml:space="preserve"> </w:t>
      </w:r>
      <w:r w:rsidR="002A79B7">
        <w:rPr>
          <w:rFonts w:ascii="CIDFont+F1" w:hAnsi="CIDFont+F1" w:cs="CIDFont+F1"/>
          <w:sz w:val="22"/>
          <w:szCs w:val="22"/>
        </w:rPr>
        <w:t>(obrubník bude vyvýšen 12cm nad úroveň zpevněné plochy).</w:t>
      </w:r>
    </w:p>
    <w:p w:rsidR="002A79B7" w:rsidRDefault="002A79B7" w:rsidP="00186340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lastRenderedPageBreak/>
        <w:t>Chodníky sousedící se zelenými plochami budou lemovány betonovým chodníkovým</w:t>
      </w:r>
      <w:r w:rsidR="00186340">
        <w:rPr>
          <w:rFonts w:ascii="CIDFont+F1" w:hAnsi="CIDFont+F1" w:cs="CIDFont+F1"/>
          <w:sz w:val="22"/>
          <w:szCs w:val="22"/>
        </w:rPr>
        <w:t xml:space="preserve"> </w:t>
      </w:r>
      <w:r>
        <w:rPr>
          <w:rFonts w:ascii="CIDFont+F1" w:hAnsi="CIDFont+F1" w:cs="CIDFont+F1"/>
          <w:sz w:val="22"/>
          <w:szCs w:val="22"/>
        </w:rPr>
        <w:t xml:space="preserve">obrubníkem </w:t>
      </w:r>
      <w:r w:rsidR="002655C6">
        <w:rPr>
          <w:rFonts w:ascii="CIDFont+F1" w:hAnsi="CIDFont+F1" w:cs="CIDFont+F1"/>
          <w:sz w:val="22"/>
          <w:szCs w:val="22"/>
        </w:rPr>
        <w:t>50</w:t>
      </w:r>
      <w:r>
        <w:rPr>
          <w:rFonts w:ascii="CIDFont+F1" w:hAnsi="CIDFont+F1" w:cs="CIDFont+F1"/>
          <w:sz w:val="22"/>
          <w:szCs w:val="22"/>
        </w:rPr>
        <w:t>x200x1000mm do betonového lože C</w:t>
      </w:r>
      <w:r w:rsidR="002655C6">
        <w:rPr>
          <w:rFonts w:ascii="CIDFont+F1" w:hAnsi="CIDFont+F1" w:cs="CIDFont+F1"/>
          <w:sz w:val="22"/>
          <w:szCs w:val="22"/>
        </w:rPr>
        <w:t>12/15</w:t>
      </w:r>
      <w:r>
        <w:rPr>
          <w:rFonts w:ascii="CIDFont+F1" w:hAnsi="CIDFont+F1" w:cs="CIDFont+F1"/>
          <w:sz w:val="22"/>
          <w:szCs w:val="22"/>
        </w:rPr>
        <w:t xml:space="preserve"> tl. min.100mm (obrubník bude</w:t>
      </w:r>
      <w:r w:rsidR="00186340">
        <w:rPr>
          <w:rFonts w:ascii="CIDFont+F1" w:hAnsi="CIDFont+F1" w:cs="CIDFont+F1"/>
          <w:sz w:val="22"/>
          <w:szCs w:val="22"/>
        </w:rPr>
        <w:t xml:space="preserve"> </w:t>
      </w:r>
      <w:r>
        <w:rPr>
          <w:rFonts w:ascii="CIDFont+F1" w:hAnsi="CIDFont+F1" w:cs="CIDFont+F1"/>
          <w:sz w:val="22"/>
          <w:szCs w:val="22"/>
        </w:rPr>
        <w:t>vyvýšen 7cm nad úroveň zpevněné plochy).</w:t>
      </w:r>
    </w:p>
    <w:p w:rsidR="00186340" w:rsidRDefault="00186340" w:rsidP="00186340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Bezbariérové přístupy budou zakončeny betonovými nájezdovými obrubníky 148,5x145x1000mm.</w:t>
      </w:r>
    </w:p>
    <w:p w:rsidR="00186340" w:rsidRDefault="00186340" w:rsidP="00186340">
      <w:pPr>
        <w:autoSpaceDE w:val="0"/>
        <w:autoSpaceDN w:val="0"/>
        <w:adjustRightInd w:val="0"/>
        <w:jc w:val="both"/>
        <w:rPr>
          <w:rFonts w:ascii="CIDFont+F1" w:hAnsi="CIDFont+F1" w:cs="CIDFont+F1"/>
          <w:sz w:val="22"/>
          <w:szCs w:val="22"/>
        </w:rPr>
      </w:pPr>
    </w:p>
    <w:p w:rsidR="00186340" w:rsidRPr="007C5A9A" w:rsidRDefault="00186340" w:rsidP="00186340">
      <w:pPr>
        <w:autoSpaceDE w:val="0"/>
        <w:autoSpaceDN w:val="0"/>
        <w:adjustRightInd w:val="0"/>
        <w:jc w:val="both"/>
        <w:rPr>
          <w:rFonts w:ascii="CIDFont+F1" w:hAnsi="CIDFont+F1" w:cs="CIDFont+F1"/>
          <w:b/>
          <w:sz w:val="22"/>
          <w:szCs w:val="22"/>
        </w:rPr>
      </w:pPr>
      <w:r w:rsidRPr="007C5A9A">
        <w:rPr>
          <w:rFonts w:ascii="CIDFont+F1" w:hAnsi="CIDFont+F1" w:cs="CIDFont+F1"/>
          <w:b/>
          <w:sz w:val="22"/>
          <w:szCs w:val="22"/>
        </w:rPr>
        <w:t>Vymezení opravovaných ploch:</w:t>
      </w:r>
    </w:p>
    <w:p w:rsidR="00186340" w:rsidRDefault="00186340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2A79B7" w:rsidRDefault="00BC79E3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1708150</wp:posOffset>
                </wp:positionV>
                <wp:extent cx="228600" cy="2057400"/>
                <wp:effectExtent l="19050" t="31750" r="19050" b="6350"/>
                <wp:wrapNone/>
                <wp:docPr id="1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57400"/>
                        </a:xfrm>
                        <a:prstGeom prst="upArrow">
                          <a:avLst>
                            <a:gd name="adj1" fmla="val 50000"/>
                            <a:gd name="adj2" fmla="val 2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19" o:spid="_x0000_s1026" type="#_x0000_t68" style="position:absolute;margin-left:1in;margin-top:134.5pt;width:18pt;height:16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">
                <v:textbox style="layout-flow:vertical-ideographic"/>
              </v:shape>
            </w:pict>
          </mc:Fallback>
        </mc:AlternateContent>
      </w:r>
      <w:r>
        <w:rPr>
          <w:rFonts w:ascii="CIDFont+F1" w:hAnsi="CIDFont+F1" w:cs="CIDFont+F1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2736850</wp:posOffset>
                </wp:positionV>
                <wp:extent cx="251460" cy="685800"/>
                <wp:effectExtent l="123825" t="0" r="91440" b="0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35493">
                          <a:off x="0" y="0"/>
                          <a:ext cx="251460" cy="685800"/>
                        </a:xfrm>
                        <a:prstGeom prst="upArrow">
                          <a:avLst>
                            <a:gd name="adj1" fmla="val 50000"/>
                            <a:gd name="adj2" fmla="val 6818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68" style="position:absolute;margin-left:3in;margin-top:215.5pt;width:19.8pt;height:54pt;rotation:2114074fd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">
                <v:textbox style="layout-flow:vertical-ideographic"/>
              </v:shape>
            </w:pict>
          </mc:Fallback>
        </mc:AlternateContent>
      </w:r>
      <w:r>
        <w:rPr>
          <w:rFonts w:ascii="CIDFont+F1" w:hAnsi="CIDFont+F1" w:cs="CIDFont+F1"/>
          <w:noProof/>
          <w:sz w:val="22"/>
          <w:szCs w:val="22"/>
        </w:rPr>
        <w:drawing>
          <wp:inline distT="0" distB="0" distL="0" distR="0">
            <wp:extent cx="4924425" cy="3524250"/>
            <wp:effectExtent l="0" t="0" r="9525" b="0"/>
            <wp:docPr id="1" name="obrázek 1" descr="001a-Plouž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1a-Ploužni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616" w:rsidRDefault="008311D4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 xml:space="preserve">                                                   </w:t>
      </w:r>
      <w:r w:rsidR="00805616">
        <w:rPr>
          <w:rFonts w:ascii="CIDFont+F1" w:hAnsi="CIDFont+F1" w:cs="CIDFont+F1"/>
          <w:sz w:val="22"/>
          <w:szCs w:val="22"/>
        </w:rPr>
        <w:t>Levý konec podélného opravovaného chodníku</w:t>
      </w:r>
    </w:p>
    <w:p w:rsidR="008311D4" w:rsidRDefault="008311D4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Boční chodník</w:t>
      </w:r>
    </w:p>
    <w:p w:rsidR="00805616" w:rsidRDefault="00805616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805616" w:rsidRDefault="00BC79E3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2559050</wp:posOffset>
                </wp:positionV>
                <wp:extent cx="251460" cy="457200"/>
                <wp:effectExtent l="72390" t="0" r="57150" b="12700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69231">
                          <a:off x="0" y="0"/>
                          <a:ext cx="251460" cy="457200"/>
                        </a:xfrm>
                        <a:prstGeom prst="upArrow">
                          <a:avLst>
                            <a:gd name="adj1" fmla="val 50000"/>
                            <a:gd name="adj2" fmla="val 4545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68" style="position:absolute;margin-left:210.45pt;margin-top:201.5pt;width:19.8pt;height:36pt;rotation:2260152fd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">
                <v:textbox style="layout-flow:vertical-ideographic"/>
              </v:shape>
            </w:pict>
          </mc:Fallback>
        </mc:AlternateContent>
      </w:r>
      <w:r>
        <w:rPr>
          <w:rFonts w:ascii="CIDFont+F1" w:hAnsi="CIDFont+F1" w:cs="CIDFont+F1"/>
          <w:noProof/>
          <w:sz w:val="22"/>
          <w:szCs w:val="22"/>
        </w:rPr>
        <w:drawing>
          <wp:inline distT="0" distB="0" distL="0" distR="0">
            <wp:extent cx="5038725" cy="3009900"/>
            <wp:effectExtent l="0" t="0" r="9525" b="0"/>
            <wp:docPr id="2" name="obrázek 2" descr="002-Plouž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02-Ploužni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616" w:rsidRDefault="00805616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Konec bočního opravovaného chodníku</w:t>
      </w:r>
    </w:p>
    <w:p w:rsidR="00805616" w:rsidRDefault="00805616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805616" w:rsidRDefault="00BC79E3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2286000</wp:posOffset>
                </wp:positionV>
                <wp:extent cx="342900" cy="1828800"/>
                <wp:effectExtent l="19050" t="19050" r="19050" b="9525"/>
                <wp:wrapNone/>
                <wp:docPr id="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828800"/>
                        </a:xfrm>
                        <a:prstGeom prst="upArrow">
                          <a:avLst>
                            <a:gd name="adj1" fmla="val 50000"/>
                            <a:gd name="adj2" fmla="val 1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68" style="position:absolute;margin-left:261pt;margin-top:180pt;width:27pt;height:2in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">
                <v:textbox style="layout-flow:vertical-ideographic"/>
              </v:shape>
            </w:pict>
          </mc:Fallback>
        </mc:AlternateContent>
      </w:r>
      <w:r>
        <w:rPr>
          <w:rFonts w:ascii="CIDFont+F1" w:hAnsi="CIDFont+F1" w:cs="CIDFont+F1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2846070</wp:posOffset>
                </wp:positionV>
                <wp:extent cx="800100" cy="310515"/>
                <wp:effectExtent l="76200" t="0" r="80010" b="17780"/>
                <wp:wrapNone/>
                <wp:docPr id="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4095246">
                          <a:off x="0" y="0"/>
                          <a:ext cx="800100" cy="310515"/>
                        </a:xfrm>
                        <a:prstGeom prst="rightArrow">
                          <a:avLst>
                            <a:gd name="adj1" fmla="val 50000"/>
                            <a:gd name="adj2" fmla="val 6441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3" o:spid="_x0000_s1026" type="#_x0000_t13" style="position:absolute;margin-left:1.75pt;margin-top:224.1pt;width:63pt;height:24.45pt;rotation:-4473101fd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"/>
            </w:pict>
          </mc:Fallback>
        </mc:AlternateContent>
      </w:r>
      <w:r>
        <w:rPr>
          <w:rFonts w:ascii="CIDFont+F1" w:hAnsi="CIDFont+F1" w:cs="CIDFont+F1"/>
          <w:noProof/>
          <w:sz w:val="22"/>
          <w:szCs w:val="22"/>
        </w:rPr>
        <w:drawing>
          <wp:inline distT="0" distB="0" distL="0" distR="0">
            <wp:extent cx="5743575" cy="3629025"/>
            <wp:effectExtent l="0" t="0" r="9525" b="9525"/>
            <wp:docPr id="3" name="obrázek 3" descr="003-Plouž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03-Ploužni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EDF" w:rsidRDefault="00935EDF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Pravý konec podélného opravovaného chodníku</w:t>
      </w:r>
    </w:p>
    <w:p w:rsidR="00935EDF" w:rsidRDefault="00935EDF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935EDF" w:rsidRDefault="00935EDF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Tato část obrub bude také vyměněna    (4,40m)</w:t>
      </w:r>
    </w:p>
    <w:p w:rsidR="00935EDF" w:rsidRDefault="00935EDF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4D39DD" w:rsidRDefault="004D39DD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4D39DD" w:rsidRDefault="00BC79E3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noProof/>
          <w:sz w:val="22"/>
          <w:szCs w:val="22"/>
        </w:rPr>
        <w:drawing>
          <wp:inline distT="0" distB="0" distL="0" distR="0">
            <wp:extent cx="5753100" cy="3648075"/>
            <wp:effectExtent l="0" t="0" r="0" b="9525"/>
            <wp:docPr id="4" name="obrázek 4" descr="004-Plouž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04-Ploužni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9DD" w:rsidRDefault="004D39DD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Celkový pohled na podélný chodník a 6 ks vstupů do objektů</w:t>
      </w:r>
    </w:p>
    <w:p w:rsidR="008311D4" w:rsidRDefault="008311D4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8311D4" w:rsidRDefault="008311D4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7C5A9A" w:rsidRDefault="007C5A9A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490BC5" w:rsidRDefault="00490BC5" w:rsidP="002A79B7">
      <w:pPr>
        <w:autoSpaceDE w:val="0"/>
        <w:autoSpaceDN w:val="0"/>
        <w:adjustRightInd w:val="0"/>
        <w:rPr>
          <w:rFonts w:ascii="CIDFont+F1" w:hAnsi="CIDFont+F1" w:cs="CIDFont+F1"/>
          <w:b/>
          <w:sz w:val="22"/>
          <w:szCs w:val="22"/>
        </w:rPr>
      </w:pPr>
    </w:p>
    <w:p w:rsidR="008311D4" w:rsidRPr="007C5A9A" w:rsidRDefault="007C5A9A" w:rsidP="002A79B7">
      <w:pPr>
        <w:autoSpaceDE w:val="0"/>
        <w:autoSpaceDN w:val="0"/>
        <w:adjustRightInd w:val="0"/>
        <w:rPr>
          <w:rFonts w:ascii="CIDFont+F1" w:hAnsi="CIDFont+F1" w:cs="CIDFont+F1"/>
          <w:b/>
          <w:sz w:val="22"/>
          <w:szCs w:val="22"/>
        </w:rPr>
      </w:pPr>
      <w:r w:rsidRPr="007C5A9A">
        <w:rPr>
          <w:rFonts w:ascii="CIDFont+F1" w:hAnsi="CIDFont+F1" w:cs="CIDFont+F1"/>
          <w:b/>
          <w:sz w:val="22"/>
          <w:szCs w:val="22"/>
        </w:rPr>
        <w:t>Další prvky:</w:t>
      </w:r>
    </w:p>
    <w:p w:rsidR="007C5A9A" w:rsidRDefault="007C5A9A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8311D4" w:rsidRDefault="00BC79E3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noProof/>
          <w:sz w:val="22"/>
          <w:szCs w:val="22"/>
        </w:rPr>
        <w:drawing>
          <wp:inline distT="0" distB="0" distL="0" distR="0">
            <wp:extent cx="5753100" cy="3867150"/>
            <wp:effectExtent l="0" t="0" r="0" b="0"/>
            <wp:docPr id="5" name="obrázek 5" descr="006-Plouž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06-Ploužni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1D4" w:rsidRDefault="008311D4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Stávající bezbariérový přístup na komunikaci</w:t>
      </w:r>
    </w:p>
    <w:p w:rsidR="008311D4" w:rsidRDefault="008311D4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8311D4" w:rsidRDefault="00BC79E3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noProof/>
          <w:sz w:val="22"/>
          <w:szCs w:val="22"/>
        </w:rPr>
        <w:drawing>
          <wp:inline distT="0" distB="0" distL="0" distR="0">
            <wp:extent cx="5753100" cy="3352800"/>
            <wp:effectExtent l="0" t="0" r="0" b="0"/>
            <wp:docPr id="6" name="obrázek 6" descr="005-Plouž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05-Ploužni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A9A" w:rsidRDefault="007C5A9A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r>
        <w:rPr>
          <w:rFonts w:ascii="CIDFont+F1" w:hAnsi="CIDFont+F1" w:cs="CIDFont+F1"/>
          <w:sz w:val="22"/>
          <w:szCs w:val="22"/>
        </w:rPr>
        <w:t>Stávající rohož</w:t>
      </w:r>
      <w:r w:rsidR="0028128D">
        <w:rPr>
          <w:rFonts w:ascii="CIDFont+F1" w:hAnsi="CIDFont+F1" w:cs="CIDFont+F1"/>
          <w:sz w:val="22"/>
          <w:szCs w:val="22"/>
        </w:rPr>
        <w:t xml:space="preserve"> -</w:t>
      </w:r>
      <w:r>
        <w:rPr>
          <w:rFonts w:ascii="CIDFont+F1" w:hAnsi="CIDFont+F1" w:cs="CIDFont+F1"/>
          <w:sz w:val="22"/>
          <w:szCs w:val="22"/>
        </w:rPr>
        <w:t xml:space="preserve"> bude šetrně demontována a opětovně použita. (6 kusů) </w:t>
      </w:r>
    </w:p>
    <w:p w:rsidR="00490BC5" w:rsidRDefault="00490BC5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490BC5" w:rsidRDefault="00490BC5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490BC5" w:rsidRDefault="00490BC5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</w:p>
    <w:p w:rsidR="00490BC5" w:rsidRDefault="00490BC5" w:rsidP="002A79B7">
      <w:pPr>
        <w:autoSpaceDE w:val="0"/>
        <w:autoSpaceDN w:val="0"/>
        <w:adjustRightInd w:val="0"/>
        <w:rPr>
          <w:rFonts w:ascii="CIDFont+F1" w:hAnsi="CIDFont+F1" w:cs="CIDFont+F1"/>
          <w:sz w:val="22"/>
          <w:szCs w:val="22"/>
        </w:rPr>
      </w:pPr>
      <w:bookmarkStart w:id="0" w:name="_GoBack"/>
      <w:bookmarkEnd w:id="0"/>
      <w:r>
        <w:rPr>
          <w:rFonts w:ascii="CIDFont+F1" w:hAnsi="CIDFont+F1" w:cs="CIDFont+F1"/>
          <w:sz w:val="22"/>
          <w:szCs w:val="22"/>
        </w:rPr>
        <w:t xml:space="preserve">Červen 2019  </w:t>
      </w:r>
    </w:p>
    <w:sectPr w:rsidR="00490BC5">
      <w:footerReference w:type="even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6E5" w:rsidRDefault="00F966E5">
      <w:r>
        <w:separator/>
      </w:r>
    </w:p>
  </w:endnote>
  <w:endnote w:type="continuationSeparator" w:id="0">
    <w:p w:rsidR="00F966E5" w:rsidRDefault="00F96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6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4A0" w:rsidRDefault="003974A0" w:rsidP="00F966E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974A0" w:rsidRDefault="003974A0" w:rsidP="003974A0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4A0" w:rsidRDefault="003974A0" w:rsidP="00F966E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65E32">
      <w:rPr>
        <w:rStyle w:val="slostrnky"/>
        <w:noProof/>
      </w:rPr>
      <w:t>4</w:t>
    </w:r>
    <w:r>
      <w:rPr>
        <w:rStyle w:val="slostrnky"/>
      </w:rPr>
      <w:fldChar w:fldCharType="end"/>
    </w:r>
  </w:p>
  <w:p w:rsidR="003974A0" w:rsidRDefault="003974A0" w:rsidP="003974A0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6E5" w:rsidRDefault="00F966E5">
      <w:r>
        <w:separator/>
      </w:r>
    </w:p>
  </w:footnote>
  <w:footnote w:type="continuationSeparator" w:id="0">
    <w:p w:rsidR="00F966E5" w:rsidRDefault="00F966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9B7"/>
    <w:rsid w:val="00065E32"/>
    <w:rsid w:val="00186340"/>
    <w:rsid w:val="002655C6"/>
    <w:rsid w:val="0028128D"/>
    <w:rsid w:val="002A79B7"/>
    <w:rsid w:val="003974A0"/>
    <w:rsid w:val="004500AD"/>
    <w:rsid w:val="00490BC5"/>
    <w:rsid w:val="004D39DD"/>
    <w:rsid w:val="005E726B"/>
    <w:rsid w:val="007C5A9A"/>
    <w:rsid w:val="00805616"/>
    <w:rsid w:val="008311D4"/>
    <w:rsid w:val="008E159B"/>
    <w:rsid w:val="008E610A"/>
    <w:rsid w:val="00935EDF"/>
    <w:rsid w:val="00B66A28"/>
    <w:rsid w:val="00BC79E3"/>
    <w:rsid w:val="00EA6315"/>
    <w:rsid w:val="00F9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3974A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974A0"/>
  </w:style>
  <w:style w:type="paragraph" w:styleId="Textbubliny">
    <w:name w:val="Balloon Text"/>
    <w:basedOn w:val="Normln"/>
    <w:link w:val="TextbublinyChar"/>
    <w:rsid w:val="00065E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65E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3974A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974A0"/>
  </w:style>
  <w:style w:type="paragraph" w:styleId="Textbubliny">
    <w:name w:val="Balloon Text"/>
    <w:basedOn w:val="Normln"/>
    <w:link w:val="TextbublinyChar"/>
    <w:rsid w:val="00065E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65E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454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OBSAH:</vt:lpstr>
    </vt:vector>
  </TitlesOfParts>
  <Company/>
  <LinksUpToDate>false</LinksUpToDate>
  <CharactersWithSpaces>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OBSAH:</dc:title>
  <dc:creator>USer</dc:creator>
  <cp:lastModifiedBy>Hefner</cp:lastModifiedBy>
  <cp:revision>2</cp:revision>
  <dcterms:created xsi:type="dcterms:W3CDTF">2019-06-14T04:37:00Z</dcterms:created>
  <dcterms:modified xsi:type="dcterms:W3CDTF">2019-06-14T04:37:00Z</dcterms:modified>
</cp:coreProperties>
</file>