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3F0D79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Pr="003F0D79">
        <w:rPr>
          <w:rFonts w:ascii="Arial" w:hAnsi="Arial" w:cs="Arial"/>
          <w:b/>
          <w:bCs/>
          <w:color w:val="000000"/>
          <w:sz w:val="28"/>
          <w:szCs w:val="28"/>
        </w:rPr>
        <w:t>Regenerace venkovních prostor MŠ Eliášova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  <w:bookmarkStart w:id="0" w:name="_GoBack"/>
      <w:bookmarkEnd w:id="0"/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3F0D79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0F368"/>
  <w15:docId w15:val="{B9D748F6-21C9-41CD-AFC9-5B031B878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8</cp:revision>
  <dcterms:created xsi:type="dcterms:W3CDTF">2018-06-28T10:33:00Z</dcterms:created>
  <dcterms:modified xsi:type="dcterms:W3CDTF">2019-04-01T10:58:00Z</dcterms:modified>
</cp:coreProperties>
</file>