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B65A0F" w:rsidRPr="00B65A0F">
        <w:rPr>
          <w:rFonts w:ascii="Arial" w:hAnsi="Arial" w:cs="Arial"/>
          <w:b/>
          <w:sz w:val="24"/>
          <w:szCs w:val="24"/>
        </w:rPr>
        <w:t>Částečná demolice objektu č. p. 102 v Lužické ulici v Mimoni</w:t>
      </w: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801686"/>
    <w:rsid w:val="009814C2"/>
    <w:rsid w:val="00A63F13"/>
    <w:rsid w:val="00A66E60"/>
    <w:rsid w:val="00A73CAE"/>
    <w:rsid w:val="00B44F9A"/>
    <w:rsid w:val="00B65A0F"/>
    <w:rsid w:val="00C33ADB"/>
    <w:rsid w:val="00DA73BD"/>
    <w:rsid w:val="00E574ED"/>
    <w:rsid w:val="00ED7413"/>
    <w:rsid w:val="00F447A8"/>
    <w:rsid w:val="00FA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54BDB-930C-4475-ABC2-B8FABD848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Nedbalová Tereza</cp:lastModifiedBy>
  <cp:revision>2</cp:revision>
  <dcterms:created xsi:type="dcterms:W3CDTF">2019-03-25T14:44:00Z</dcterms:created>
  <dcterms:modified xsi:type="dcterms:W3CDTF">2019-03-25T14:44:00Z</dcterms:modified>
</cp:coreProperties>
</file>