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6C26DB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6C26DB">
        <w:rPr>
          <w:rFonts w:ascii="Arial" w:hAnsi="Arial" w:cs="Arial"/>
          <w:b/>
          <w:bCs/>
          <w:color w:val="000000"/>
          <w:sz w:val="28"/>
          <w:szCs w:val="28"/>
        </w:rPr>
        <w:t>Oprava parkovací plochy a chodníku u vlakového nádraží v</w:t>
      </w: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Pr="006C26DB">
        <w:rPr>
          <w:rFonts w:ascii="Arial" w:hAnsi="Arial" w:cs="Arial"/>
          <w:b/>
          <w:bCs/>
          <w:color w:val="000000"/>
          <w:sz w:val="28"/>
          <w:szCs w:val="28"/>
        </w:rPr>
        <w:t>Mimoni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6C26DB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0FB74"/>
  <w15:docId w15:val="{3DB8213A-BD41-4ADD-9217-4B069CB9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2019-03-15T08:11:00Z</dcterms:modified>
</cp:coreProperties>
</file>