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9C3B69" w:rsidRPr="009C3B69">
        <w:rPr>
          <w:rFonts w:ascii="Arial" w:hAnsi="Arial" w:cs="Arial"/>
          <w:b/>
          <w:sz w:val="24"/>
          <w:szCs w:val="24"/>
        </w:rPr>
        <w:t>Oprava parkov</w:t>
      </w:r>
      <w:r w:rsidR="009C3B69">
        <w:rPr>
          <w:rFonts w:ascii="Arial" w:hAnsi="Arial" w:cs="Arial"/>
          <w:b/>
          <w:sz w:val="24"/>
          <w:szCs w:val="24"/>
        </w:rPr>
        <w:t>a</w:t>
      </w:r>
      <w:r w:rsidR="009C3B69" w:rsidRPr="009C3B69">
        <w:rPr>
          <w:rFonts w:ascii="Arial" w:hAnsi="Arial" w:cs="Arial"/>
          <w:b/>
          <w:sz w:val="24"/>
          <w:szCs w:val="24"/>
        </w:rPr>
        <w:t>cí plochy a chodníku u vlakového nádraží v Mimoni</w:t>
      </w:r>
    </w:p>
    <w:bookmarkEnd w:id="0"/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9C3B69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2B668"/>
  <w15:docId w15:val="{AFF45DEC-FA8A-433A-A215-A21AF3031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2019-03-15T08:09:00Z</dcterms:modified>
</cp:coreProperties>
</file>