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B712DA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B712DA">
        <w:rPr>
          <w:rFonts w:ascii="Arial" w:hAnsi="Arial" w:cs="Arial"/>
          <w:b/>
          <w:bCs/>
          <w:color w:val="000000"/>
          <w:sz w:val="28"/>
          <w:szCs w:val="28"/>
        </w:rPr>
        <w:t>Oprava chodníku k autobusovému nádraží v</w:t>
      </w:r>
      <w:r>
        <w:rPr>
          <w:rFonts w:ascii="Arial" w:hAnsi="Arial" w:cs="Arial"/>
          <w:b/>
          <w:bCs/>
          <w:color w:val="000000"/>
          <w:sz w:val="28"/>
          <w:szCs w:val="28"/>
        </w:rPr>
        <w:t> </w:t>
      </w:r>
      <w:r w:rsidRPr="00B712DA">
        <w:rPr>
          <w:rFonts w:ascii="Arial" w:hAnsi="Arial" w:cs="Arial"/>
          <w:b/>
          <w:bCs/>
          <w:color w:val="000000"/>
          <w:sz w:val="28"/>
          <w:szCs w:val="28"/>
        </w:rPr>
        <w:t>Mimoni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B712D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FA41F"/>
  <w15:docId w15:val="{50CCFD88-C4DD-4070-A45A-E9E5D2C3F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2019-03-13T09:12:00Z</dcterms:modified>
</cp:coreProperties>
</file>