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CA2EA2" w:rsidRPr="00CA2EA2" w:rsidRDefault="00CA2EA2" w:rsidP="00A66E60">
      <w:pPr>
        <w:spacing w:after="0" w:line="240" w:lineRule="auto"/>
        <w:jc w:val="center"/>
        <w:rPr>
          <w:rFonts w:ascii="Arial" w:hAnsi="Arial" w:cs="Arial"/>
          <w:b/>
          <w:sz w:val="40"/>
          <w:szCs w:val="32"/>
        </w:rPr>
      </w:pPr>
    </w:p>
    <w:p w:rsidR="00A66E60" w:rsidRPr="00CA2EA2" w:rsidRDefault="00CA2EA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24"/>
        </w:rPr>
      </w:pPr>
      <w:r w:rsidRPr="00CA2EA2">
        <w:rPr>
          <w:rFonts w:ascii="Arial" w:hAnsi="Arial" w:cs="Arial"/>
          <w:b/>
          <w:sz w:val="32"/>
          <w:szCs w:val="24"/>
        </w:rPr>
        <w:t>„Rekonstrukce komunikace Široká a Okružní“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CA2EA2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8</cp:revision>
  <dcterms:created xsi:type="dcterms:W3CDTF">2018-06-28T10:33:00Z</dcterms:created>
  <dcterms:modified xsi:type="dcterms:W3CDTF">2019-01-18T07:53:00Z</dcterms:modified>
</cp:coreProperties>
</file>