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9D3A88">
        <w:rPr>
          <w:rFonts w:ascii="Arial" w:hAnsi="Arial" w:cs="Arial"/>
          <w:b/>
          <w:sz w:val="24"/>
        </w:rPr>
        <w:t>Technický dozor investora k akci: Humanizace Nádražní ulice v Mimoni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9814C2"/>
    <w:rsid w:val="009D3A88"/>
    <w:rsid w:val="00A63F13"/>
    <w:rsid w:val="00A66E60"/>
    <w:rsid w:val="00A73CAE"/>
    <w:rsid w:val="00B44F9A"/>
    <w:rsid w:val="00C33ADB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Tereza Nedbalová</cp:lastModifiedBy>
  <cp:revision>2</cp:revision>
  <dcterms:created xsi:type="dcterms:W3CDTF">2018-02-16T08:11:00Z</dcterms:created>
  <dcterms:modified xsi:type="dcterms:W3CDTF">2018-02-16T08:11:00Z</dcterms:modified>
</cp:coreProperties>
</file>