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A25FE5">
        <w:rPr>
          <w:rFonts w:ascii="Arial" w:hAnsi="Arial" w:cs="Arial"/>
          <w:b/>
          <w:bCs/>
        </w:rPr>
        <w:t>služby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25FE5">
        <w:rPr>
          <w:rFonts w:ascii="Arial" w:hAnsi="Arial" w:cs="Arial"/>
          <w:b/>
          <w:sz w:val="24"/>
          <w:szCs w:val="24"/>
        </w:rPr>
        <w:t>Technický dozor investora k akci: Úpravy Zámeckého rybníka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25FE5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2018-02-05T14:23:00Z</dcterms:created>
  <dcterms:modified xsi:type="dcterms:W3CDTF">2018-02-05T14:23:00Z</dcterms:modified>
</cp:coreProperties>
</file>